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B339E0" w:rsidRPr="00B339E0" w:rsidTr="00B339E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B339E0" w:rsidRPr="00B339E0" w:rsidRDefault="00B339E0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Форма, предназначенная для сбора административных данных</w:t>
      </w:r>
    </w:p>
    <w:p w:rsidR="00B339E0" w:rsidRPr="00B339E0" w:rsidRDefault="00B339E0" w:rsidP="00B339E0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B339E0" w:rsidRPr="00B339E0" w:rsidRDefault="00B339E0" w:rsidP="00B339E0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     Сноска. Приложение 21 в редакции приказа Министра финансов РК от 22.11.2018 </w:t>
      </w:r>
      <w:hyperlink r:id="rId5" w:anchor="z44" w:history="1">
        <w:r w:rsidRPr="00B339E0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1020</w:t>
        </w:r>
      </w:hyperlink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339E0" w:rsidRPr="00B339E0" w:rsidRDefault="00B339E0" w:rsidP="00B339E0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>за _</w:t>
      </w:r>
      <w:r w:rsidR="00FE2E2E" w:rsidRPr="00FE2E2E">
        <w:rPr>
          <w:rFonts w:ascii="Courier New" w:eastAsia="Times New Roman" w:hAnsi="Courier New" w:cs="Courier New"/>
          <w:color w:val="1E1E1E"/>
          <w:sz w:val="26"/>
          <w:szCs w:val="26"/>
          <w:u w:val="single"/>
          <w:lang w:val="kk-KZ"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B339E0" w:rsidRPr="00B339E0" w:rsidRDefault="00B339E0" w:rsidP="00B339E0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bookmarkStart w:id="0" w:name="z209"/>
      <w:bookmarkEnd w:id="0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Круг представляющих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лиц</w:t>
      </w:r>
      <w:proofErr w:type="gram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  <w:bookmarkStart w:id="1" w:name="z210"/>
      <w:bookmarkEnd w:id="1"/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Г</w:t>
      </w:r>
      <w:proofErr w:type="gramEnd"/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</w:t>
      </w:r>
      <w:proofErr w:type="spellEnd"/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«Отдел финансов </w:t>
      </w:r>
      <w:proofErr w:type="spellStart"/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Кербулакского</w:t>
      </w:r>
      <w:proofErr w:type="spellEnd"/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района»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bookmarkStart w:id="2" w:name="z211"/>
      <w:bookmarkEnd w:id="2"/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уполномоченному органу по исполнению бюджета </w:t>
      </w:r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(акима города районного значения, села поселка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Куда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</w:t>
      </w:r>
      <w:bookmarkStart w:id="3" w:name="z212"/>
      <w:bookmarkEnd w:id="3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Периодичность: годовая</w:t>
      </w:r>
      <w:bookmarkStart w:id="4" w:name="z213"/>
      <w:bookmarkEnd w:id="4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bookmarkStart w:id="5" w:name="z214"/>
      <w:bookmarkEnd w:id="5"/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до 15 февраля года, следующего за отчетным финансовым годом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</w:t>
      </w:r>
      <w:r w:rsidR="00051F4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Кербулакского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района </w:t>
      </w:r>
      <w:r w:rsidR="00051F4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село Сарыозек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(города областного значения), города районного значения, села, поселка, сельского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</w:t>
      </w:r>
      <w:r w:rsidR="00051F4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года, следующего за отчетным финансовым годом;</w:t>
      </w:r>
      <w:bookmarkStart w:id="6" w:name="z215"/>
      <w:bookmarkEnd w:id="6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  <w:bookmarkStart w:id="7" w:name="z216"/>
      <w:bookmarkEnd w:id="7"/>
    </w:p>
    <w:p w:rsidR="00FB22C5" w:rsidRDefault="00B339E0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Код и наименование администратора бюджетной программы _</w:t>
      </w:r>
      <w:r w:rsidR="00FE2E2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456</w:t>
      </w:r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Отдел внутренней политики района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</w:t>
      </w:r>
      <w:r w:rsidR="00FE2E2E" w:rsidRPr="00FE2E2E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ГУ «Отдел внутренней политики Кербулакского района</w:t>
      </w:r>
      <w:r w:rsidR="00FE2E2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Код и наименование бюджетной программы ___</w:t>
      </w:r>
      <w:r w:rsidR="00051F4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001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</w:t>
      </w:r>
      <w:r w:rsidR="00051F4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Услуги по реализации государственной политики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____________________________________________________________________________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программы:</w:t>
      </w:r>
    </w:p>
    <w:p w:rsidR="00FB22C5" w:rsidRDefault="00FB22C5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Района горада областного значения </w:t>
      </w:r>
    </w:p>
    <w:p w:rsidR="00B339E0" w:rsidRPr="001B3167" w:rsidRDefault="00B339E0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       в зависимости от уровня государственного управления __</w:t>
      </w:r>
      <w:r w:rsidR="00FB22C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Осуществление государственных функций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в зависимости от содержания __________________________________________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в зависимости от способа реализации ____</w:t>
      </w:r>
      <w:r w:rsidR="0013523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индивидуальная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текущая или развития _________________________________________________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 w:rsidR="008E704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13523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r w:rsidR="0013523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Обеспечение реализации государственной политики в области исполнения бюджета района и коммунальной собственностью района </w:t>
      </w:r>
      <w:r w:rsidR="00135239" w:rsidRPr="008E7040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 xml:space="preserve"> </w:t>
      </w:r>
      <w:r w:rsidRPr="008E7040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>______________________________________________________________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Описание бюджетной</w:t>
      </w:r>
      <w:r w:rsid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r w:rsidR="00135239" w:rsidRP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Расходы по обеспечению деятельности ГУ Отдел внутренней поли</w:t>
      </w:r>
      <w:r w:rsidR="001B3167" w:rsidRP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тики Кербулакского района соглас</w:t>
      </w:r>
      <w:r w:rsidR="00135239" w:rsidRP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но утвержденному лимиту штатной численности (3 единицы</w:t>
      </w:r>
      <w:proofErr w:type="gramStart"/>
      <w:r w:rsidR="00135239" w:rsidRP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)о</w:t>
      </w:r>
      <w:proofErr w:type="gramEnd"/>
      <w:r w:rsidR="00135239" w:rsidRP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плата труда, компенсационные выплаты госслужащим, соцтальный налог и социальные отсичление затраты на оплату  коммунальных услуг, услуг связи и прочие затраты служебные командировки в пределах РК и прочие</w:t>
      </w:r>
      <w:r w:rsidR="0013523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___________________________________________________________________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0"/>
        <w:gridCol w:w="1021"/>
        <w:gridCol w:w="703"/>
        <w:gridCol w:w="703"/>
        <w:gridCol w:w="1419"/>
        <w:gridCol w:w="1903"/>
        <w:gridCol w:w="2741"/>
      </w:tblGrid>
      <w:tr w:rsidR="00B339E0" w:rsidRPr="00B339E0" w:rsidTr="00640201">
        <w:trPr>
          <w:trHeight w:val="129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Расходы по бюджетной программе</w:t>
            </w:r>
          </w:p>
        </w:tc>
        <w:tc>
          <w:tcPr>
            <w:tcW w:w="10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B339E0" w:rsidRPr="00B339E0" w:rsidTr="00640201">
        <w:trPr>
          <w:trHeight w:val="578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B339E0" w:rsidRPr="00B339E0" w:rsidTr="00640201">
        <w:trPr>
          <w:trHeight w:val="590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EE3C5F" w:rsidRDefault="001B3167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Заработная плата с учетом налогов и отчисление </w:t>
            </w:r>
            <w:r w:rsidR="00EE3C5F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EE3C5F" w:rsidRDefault="001B3167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8441,0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EE3C5F" w:rsidRDefault="001B3167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8436,0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EE3C5F" w:rsidRDefault="00EE3C5F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</w:t>
            </w:r>
            <w:r w:rsidR="0064020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Остаток за счет экономии бюджетных средств</w:t>
            </w:r>
          </w:p>
        </w:tc>
      </w:tr>
      <w:tr w:rsidR="00B339E0" w:rsidRPr="00B339E0" w:rsidTr="00640201">
        <w:trPr>
          <w:trHeight w:val="81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1B3167" w:rsidRDefault="001B3167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Текущие затраты на обеспечение деятельности ГУ «Отдел внутренней политики Кербулакского района »</w:t>
            </w:r>
          </w:p>
        </w:tc>
        <w:tc>
          <w:tcPr>
            <w:tcW w:w="10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6179,0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6174,0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Остаток за счет экономии бюджетных средств</w:t>
            </w:r>
          </w:p>
        </w:tc>
      </w:tr>
      <w:tr w:rsidR="00640201" w:rsidRPr="00B339E0" w:rsidTr="00640201">
        <w:trPr>
          <w:trHeight w:val="836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40201" w:rsidRPr="00B339E0" w:rsidRDefault="00640201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10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40201" w:rsidRPr="00B339E0" w:rsidRDefault="00640201" w:rsidP="00D81DB8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40201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15020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40201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14610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40201" w:rsidRPr="00B339E0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40201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40201" w:rsidRPr="00B339E0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Остаток за счет экономии бюджетных средств</w:t>
            </w:r>
          </w:p>
        </w:tc>
      </w:tr>
    </w:tbl>
    <w:p w:rsidR="00B339E0" w:rsidRPr="00640201" w:rsidRDefault="00B339E0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Код и наименование бюджетной</w:t>
      </w:r>
      <w:r w:rsid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подпрограммы </w:t>
      </w:r>
      <w:r w:rsid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640201" w:rsidRP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015- за счет средств местного бюджета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подпрограммы: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в зависимости от содержания: ____</w:t>
      </w:r>
      <w:r w:rsid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Осуществление государственных функций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текущая или развития </w:t>
      </w:r>
      <w:r w:rsidRP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>___</w:t>
      </w:r>
      <w:r w:rsidR="00640201" w:rsidRP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подпрограммы _</w:t>
      </w:r>
      <w:r w:rsidR="00640201" w:rsidRP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 xml:space="preserve"> </w:t>
      </w:r>
      <w:r w:rsidR="00640201" w:rsidRP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Расходы по обеспечению деятельности ГУ Отдел внутренней политики Кербулакского района согласно утвержденному лимиту штатной численности (3 единицы)оплата труда, компенсационные выплаты госслужащим, соцтальный налог и социальные отсичление затраты на оплату  коммунальных услуг, услуг связи и прочие затраты служебные командировки в пределах РК и прочие</w:t>
      </w:r>
      <w:r w:rsid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64020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</w:t>
      </w:r>
    </w:p>
    <w:tbl>
      <w:tblPr>
        <w:tblW w:w="10868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6"/>
        <w:gridCol w:w="1106"/>
        <w:gridCol w:w="703"/>
        <w:gridCol w:w="799"/>
        <w:gridCol w:w="1362"/>
        <w:gridCol w:w="1777"/>
        <w:gridCol w:w="2705"/>
      </w:tblGrid>
      <w:tr w:rsidR="00B339E0" w:rsidRPr="00B339E0" w:rsidTr="00640201">
        <w:trPr>
          <w:trHeight w:val="1295"/>
        </w:trPr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Показатели прямого результата: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программы/ подпрограммы</w:t>
            </w:r>
          </w:p>
        </w:tc>
      </w:tr>
      <w:tr w:rsidR="00B339E0" w:rsidRPr="00B339E0" w:rsidTr="00640201">
        <w:trPr>
          <w:trHeight w:val="592"/>
        </w:trPr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B339E0" w:rsidRPr="00B339E0" w:rsidTr="00640201">
        <w:trPr>
          <w:trHeight w:val="1295"/>
        </w:trPr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подпрограммы</w:t>
            </w:r>
          </w:p>
        </w:tc>
      </w:tr>
      <w:tr w:rsidR="00B339E0" w:rsidRPr="00B339E0" w:rsidTr="00640201">
        <w:trPr>
          <w:trHeight w:val="814"/>
        </w:trPr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640201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Заработная плата с учетам налогов и отчислении </w:t>
            </w:r>
            <w:r w:rsidR="00EE3C5F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40201" w:rsidRDefault="00640201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8027,0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8025,0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Остаток за счет экономии бюджетных средств</w:t>
            </w:r>
          </w:p>
        </w:tc>
      </w:tr>
      <w:tr w:rsidR="00F35E69" w:rsidRPr="00B339E0" w:rsidTr="00640201">
        <w:trPr>
          <w:trHeight w:val="814"/>
        </w:trPr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35E69" w:rsidRDefault="00F35E69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lastRenderedPageBreak/>
              <w:t>Текущие затраты на обеспечение деятельности ГУ «Отдел внутренней политики Кербулакского района 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35E69" w:rsidRPr="00F35E69" w:rsidRDefault="00F35E69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Тысяч тенге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6179,0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6174,0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Остаток за счет экономии бюджетных средств</w:t>
            </w:r>
          </w:p>
        </w:tc>
      </w:tr>
      <w:tr w:rsidR="00B339E0" w:rsidRPr="00B339E0" w:rsidTr="00640201">
        <w:trPr>
          <w:trHeight w:val="838"/>
        </w:trPr>
        <w:tc>
          <w:tcPr>
            <w:tcW w:w="24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14206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EE3C5F" w:rsidP="00F35E69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  <w:r w:rsidR="00F35E6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199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F35E69" w:rsidRDefault="00F35E69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35E69" w:rsidRDefault="00B339E0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Код и наименовани</w:t>
      </w:r>
      <w:r w:rsidR="00F35E6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 бюджетной</w:t>
      </w:r>
      <w:r w:rsidR="00F35E6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подпрограммы </w:t>
      </w:r>
      <w:r w:rsidR="00F35E6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011 за счет трансфертов из республиканского бюджета </w:t>
      </w:r>
    </w:p>
    <w:p w:rsidR="00B339E0" w:rsidRPr="00512DF3" w:rsidRDefault="00B339E0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Вид бюд</w:t>
      </w:r>
      <w:r w:rsidR="00512D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жетной подпрограммы:</w:t>
      </w:r>
      <w:r w:rsidR="00512D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в зависимости от содержания: </w:t>
      </w:r>
      <w:r w:rsidR="00F35E6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Осуществление государственных функций </w:t>
      </w:r>
      <w:r w:rsidR="00512DF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текущая или развития _________</w:t>
      </w:r>
      <w:r w:rsidR="00F35E6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 подпрограммы _</w:t>
      </w:r>
      <w:r w:rsidR="00F35E69" w:rsidRPr="00F35E69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 xml:space="preserve"> </w:t>
      </w:r>
      <w:r w:rsidR="00F35E69" w:rsidRPr="001B316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Расходы по обеспечению деятельности ГУ Отдел внутренней политики Кербулакского района согласно утвержденному лимиту штатной численности (3 единицы)оплата труда, компенсационные выплаты госслужащим, соцтальный налог и социальные отсичление затраты на оплату  коммунальных услуг, услуг связи и прочие затраты служебные командировки в пределах РК и прочие</w:t>
      </w:r>
      <w:r w:rsidR="00F35E6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</w:p>
    <w:tbl>
      <w:tblPr>
        <w:tblW w:w="10957" w:type="dxa"/>
        <w:tblInd w:w="-93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88"/>
        <w:gridCol w:w="1211"/>
        <w:gridCol w:w="688"/>
        <w:gridCol w:w="626"/>
        <w:gridCol w:w="1382"/>
        <w:gridCol w:w="1820"/>
        <w:gridCol w:w="3442"/>
      </w:tblGrid>
      <w:tr w:rsidR="00B339E0" w:rsidRPr="00B339E0" w:rsidTr="00512DF3">
        <w:trPr>
          <w:trHeight w:val="142"/>
        </w:trPr>
        <w:tc>
          <w:tcPr>
            <w:tcW w:w="17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Показатели прямого результата:</w:t>
            </w:r>
          </w:p>
        </w:tc>
        <w:tc>
          <w:tcPr>
            <w:tcW w:w="12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измерения.</w:t>
            </w:r>
          </w:p>
        </w:tc>
        <w:tc>
          <w:tcPr>
            <w:tcW w:w="6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1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34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B339E0" w:rsidRPr="00B339E0" w:rsidTr="00512DF3">
        <w:trPr>
          <w:trHeight w:val="594"/>
        </w:trPr>
        <w:tc>
          <w:tcPr>
            <w:tcW w:w="17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B339E0" w:rsidRPr="00B339E0" w:rsidTr="00512DF3">
        <w:trPr>
          <w:trHeight w:val="1770"/>
        </w:trPr>
        <w:tc>
          <w:tcPr>
            <w:tcW w:w="17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подпрограмме</w:t>
            </w:r>
          </w:p>
        </w:tc>
        <w:tc>
          <w:tcPr>
            <w:tcW w:w="12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1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34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B339E0" w:rsidRDefault="00B339E0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подпрограммы</w:t>
            </w:r>
          </w:p>
        </w:tc>
      </w:tr>
      <w:tr w:rsidR="00512DF3" w:rsidRPr="00B339E0" w:rsidTr="00512DF3">
        <w:trPr>
          <w:trHeight w:val="816"/>
        </w:trPr>
        <w:tc>
          <w:tcPr>
            <w:tcW w:w="17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512DF3" w:rsidRDefault="00512DF3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Заработная плата с учетам  налогов и отчисление </w:t>
            </w:r>
          </w:p>
        </w:tc>
        <w:tc>
          <w:tcPr>
            <w:tcW w:w="12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B339E0" w:rsidRDefault="00512DF3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6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512DF3" w:rsidRDefault="00512DF3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414,0</w:t>
            </w:r>
          </w:p>
        </w:tc>
        <w:tc>
          <w:tcPr>
            <w:tcW w:w="6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512DF3" w:rsidRDefault="00512DF3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412,0</w:t>
            </w:r>
          </w:p>
        </w:tc>
        <w:tc>
          <w:tcPr>
            <w:tcW w:w="1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512DF3" w:rsidRDefault="00512DF3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-2</w:t>
            </w:r>
          </w:p>
        </w:tc>
        <w:tc>
          <w:tcPr>
            <w:tcW w:w="1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B339E0" w:rsidRDefault="00512DF3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Default="00512DF3" w:rsidP="00A717C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Остаток за счет экономии бюджетных средств</w:t>
            </w:r>
          </w:p>
        </w:tc>
      </w:tr>
      <w:tr w:rsidR="00512DF3" w:rsidRPr="00B339E0" w:rsidTr="00512DF3">
        <w:trPr>
          <w:trHeight w:val="1311"/>
        </w:trPr>
        <w:tc>
          <w:tcPr>
            <w:tcW w:w="17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B339E0" w:rsidRDefault="00512DF3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2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B339E0" w:rsidRDefault="00512DF3" w:rsidP="00B339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6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512DF3" w:rsidRDefault="00512DF3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414,0</w:t>
            </w:r>
          </w:p>
        </w:tc>
        <w:tc>
          <w:tcPr>
            <w:tcW w:w="6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512DF3" w:rsidRDefault="00512DF3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412,0</w:t>
            </w:r>
          </w:p>
        </w:tc>
        <w:tc>
          <w:tcPr>
            <w:tcW w:w="1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512DF3" w:rsidRDefault="00512DF3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-2</w:t>
            </w:r>
          </w:p>
        </w:tc>
        <w:tc>
          <w:tcPr>
            <w:tcW w:w="1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Pr="00B339E0" w:rsidRDefault="00512DF3" w:rsidP="00B339E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12DF3" w:rsidRDefault="00512DF3" w:rsidP="00A717C0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Остаток за счет экономии бюджетных средств</w:t>
            </w:r>
          </w:p>
        </w:tc>
      </w:tr>
    </w:tbl>
    <w:p w:rsidR="00B339E0" w:rsidRPr="00B339E0" w:rsidRDefault="00B339E0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бюджетных программ ___________      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</w:t>
      </w:r>
      <w:r w:rsidR="00874EFF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>Г.Б</w:t>
      </w:r>
      <w:r w:rsidR="00EE3C5F" w:rsidRPr="00EE3C5F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>екбатырова</w:t>
      </w:r>
      <w:proofErr w:type="spellEnd"/>
      <w:r w:rsidR="00EE3C5F" w:rsidRPr="00EE3C5F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 xml:space="preserve"> </w:t>
      </w:r>
      <w:r w:rsidRPr="00EE3C5F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>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                 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Главный бухгалтер       ___________      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</w:t>
      </w:r>
      <w:r w:rsidR="00EE3C5F" w:rsidRPr="00EE3C5F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>Ж.Манкибаева</w:t>
      </w:r>
      <w:proofErr w:type="spellEnd"/>
      <w:r w:rsidR="00EE3C5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(подпись)       (расшифровка подписи)</w:t>
      </w:r>
    </w:p>
    <w:p w:rsidR="00B339E0" w:rsidRPr="00B339E0" w:rsidRDefault="00B339E0" w:rsidP="00B339E0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Примечание: Пояснение по заполнению к форме согласно пункту 49 настоящей Инструкции</w:t>
      </w:r>
    </w:p>
    <w:p w:rsidR="006160B4" w:rsidRDefault="006160B4"/>
    <w:sectPr w:rsidR="006160B4" w:rsidSect="0061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9E0"/>
    <w:rsid w:val="00051F49"/>
    <w:rsid w:val="00135239"/>
    <w:rsid w:val="00155AF3"/>
    <w:rsid w:val="001B3167"/>
    <w:rsid w:val="00512DF3"/>
    <w:rsid w:val="005D08E6"/>
    <w:rsid w:val="006160B4"/>
    <w:rsid w:val="00635254"/>
    <w:rsid w:val="00640201"/>
    <w:rsid w:val="00695238"/>
    <w:rsid w:val="006B1A94"/>
    <w:rsid w:val="0084090B"/>
    <w:rsid w:val="00874EFF"/>
    <w:rsid w:val="008E7040"/>
    <w:rsid w:val="008F4925"/>
    <w:rsid w:val="00935033"/>
    <w:rsid w:val="00B329EF"/>
    <w:rsid w:val="00B339E0"/>
    <w:rsid w:val="00CB26C1"/>
    <w:rsid w:val="00EE3C5F"/>
    <w:rsid w:val="00F35E69"/>
    <w:rsid w:val="00FB22C5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B339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80001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817C-AC4A-46EC-ADEA-9CEF9F84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2020-02-14T12:22:00Z</dcterms:created>
  <dcterms:modified xsi:type="dcterms:W3CDTF">2020-02-17T09:36:00Z</dcterms:modified>
</cp:coreProperties>
</file>