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8237C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архитектуры  и  градостроительства 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«Отдел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 xml:space="preserve"> архитектуры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 xml:space="preserve">градостроительства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Ескельдинского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в сумме 10421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AE57CA" w:rsidRDefault="00472FA4" w:rsidP="00AE57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а программу 468001011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/015 «</w:t>
      </w:r>
      <w:r w:rsidR="00AE57CA" w:rsidRPr="00AE57CA">
        <w:rPr>
          <w:rFonts w:ascii="Times New Roman" w:hAnsi="Times New Roman" w:cs="Times New Roman"/>
          <w:bCs/>
          <w:sz w:val="28"/>
          <w:szCs w:val="28"/>
        </w:rPr>
        <w:t>Услуги по реализации государственной политики  в области  архитектуры и градостроительства на местном уровне</w:t>
      </w:r>
      <w:bookmarkStart w:id="0" w:name="_GoBack"/>
      <w:bookmarkEnd w:id="0"/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10 171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 xml:space="preserve"> 8 092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2079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а программу 468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004000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 xml:space="preserve"> всего 2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50,0 тысяч тенге,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 w:rsidR="008237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2A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91B2A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D35A6"/>
    <w:rsid w:val="002942AE"/>
    <w:rsid w:val="002C5240"/>
    <w:rsid w:val="00472FA4"/>
    <w:rsid w:val="007D2F0B"/>
    <w:rsid w:val="008237C5"/>
    <w:rsid w:val="00967381"/>
    <w:rsid w:val="009D34F2"/>
    <w:rsid w:val="00AE57CA"/>
    <w:rsid w:val="00B33752"/>
    <w:rsid w:val="00B469BD"/>
    <w:rsid w:val="00C9799A"/>
    <w:rsid w:val="00E82241"/>
    <w:rsid w:val="00E91B2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ПК1</cp:lastModifiedBy>
  <cp:revision>28</cp:revision>
  <cp:lastPrinted>2019-10-24T03:57:00Z</cp:lastPrinted>
  <dcterms:created xsi:type="dcterms:W3CDTF">2019-10-22T09:49:00Z</dcterms:created>
  <dcterms:modified xsi:type="dcterms:W3CDTF">2019-10-31T12:25:00Z</dcterms:modified>
</cp:coreProperties>
</file>