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4D" w:rsidRDefault="007A7F4D" w:rsidP="00C17F08">
      <w:pPr>
        <w:ind w:left="4820" w:right="-1"/>
        <w:contextualSpacing/>
        <w:rPr>
          <w:rFonts w:eastAsia="Consolas"/>
          <w:b/>
          <w:color w:val="000000"/>
          <w:sz w:val="28"/>
          <w:szCs w:val="28"/>
          <w:lang w:val="kk-KZ"/>
        </w:rPr>
      </w:pPr>
      <w:bookmarkStart w:id="0" w:name="_GoBack"/>
      <w:bookmarkEnd w:id="0"/>
    </w:p>
    <w:p w:rsidR="007A7F4D" w:rsidRDefault="007A7F4D" w:rsidP="00C17F08">
      <w:pPr>
        <w:ind w:left="4820" w:right="-1"/>
        <w:contextualSpacing/>
        <w:rPr>
          <w:rFonts w:eastAsia="Consolas"/>
          <w:b/>
          <w:color w:val="000000"/>
          <w:sz w:val="28"/>
          <w:szCs w:val="28"/>
          <w:lang w:val="kk-KZ"/>
        </w:rPr>
      </w:pPr>
    </w:p>
    <w:p w:rsidR="00C17F08" w:rsidRPr="00780446" w:rsidRDefault="00C17F08" w:rsidP="00C17F08">
      <w:pPr>
        <w:ind w:left="4820" w:right="-1"/>
        <w:contextualSpacing/>
        <w:rPr>
          <w:rFonts w:eastAsia="Consolas"/>
          <w:b/>
          <w:color w:val="000000"/>
          <w:sz w:val="28"/>
          <w:szCs w:val="28"/>
        </w:rPr>
      </w:pPr>
      <w:r w:rsidRPr="00780446">
        <w:rPr>
          <w:rFonts w:eastAsia="Consolas"/>
          <w:b/>
          <w:color w:val="000000"/>
          <w:sz w:val="28"/>
          <w:szCs w:val="28"/>
        </w:rPr>
        <w:t xml:space="preserve">Руководителю </w:t>
      </w:r>
      <w:r w:rsidRPr="000D22C5">
        <w:rPr>
          <w:rFonts w:eastAsia="Consolas"/>
          <w:b/>
          <w:color w:val="000000"/>
          <w:sz w:val="28"/>
          <w:szCs w:val="28"/>
        </w:rPr>
        <w:t>Управления</w:t>
      </w:r>
      <w:r w:rsidRPr="000D22C5">
        <w:rPr>
          <w:rFonts w:eastAsia="Consolas"/>
          <w:b/>
          <w:color w:val="000000"/>
          <w:sz w:val="28"/>
          <w:szCs w:val="28"/>
        </w:rPr>
        <w:br/>
        <w:t xml:space="preserve">финансов </w:t>
      </w:r>
      <w:r w:rsidRPr="002902D9">
        <w:rPr>
          <w:rFonts w:eastAsia="Consolas"/>
          <w:b/>
          <w:color w:val="000000"/>
          <w:sz w:val="28"/>
          <w:szCs w:val="28"/>
        </w:rPr>
        <w:t>города Астаны</w:t>
      </w:r>
    </w:p>
    <w:p w:rsidR="00C17F08" w:rsidRDefault="00C17F08" w:rsidP="00C17F08">
      <w:pPr>
        <w:ind w:left="4820" w:right="-1"/>
        <w:contextualSpacing/>
        <w:rPr>
          <w:rFonts w:eastAsia="Consolas"/>
          <w:b/>
          <w:color w:val="000000"/>
          <w:sz w:val="28"/>
          <w:szCs w:val="28"/>
        </w:rPr>
      </w:pPr>
      <w:r w:rsidRPr="000D22C5">
        <w:rPr>
          <w:rFonts w:eastAsia="Consolas"/>
          <w:b/>
          <w:color w:val="000000"/>
          <w:sz w:val="28"/>
          <w:szCs w:val="28"/>
        </w:rPr>
        <w:t>Жумаеву А.А.</w:t>
      </w:r>
    </w:p>
    <w:p w:rsidR="00C17F08" w:rsidRPr="00536BC5" w:rsidRDefault="00C17F08" w:rsidP="00C17F08">
      <w:pPr>
        <w:ind w:left="5529" w:right="-1"/>
        <w:contextualSpacing/>
        <w:rPr>
          <w:rFonts w:eastAsia="Consolas"/>
          <w:b/>
          <w:color w:val="000000"/>
          <w:sz w:val="28"/>
          <w:szCs w:val="28"/>
        </w:rPr>
      </w:pPr>
    </w:p>
    <w:p w:rsidR="00C17F08" w:rsidRPr="00AF5149" w:rsidRDefault="00C17F08" w:rsidP="00C17F08">
      <w:pPr>
        <w:ind w:left="5529" w:right="-1"/>
        <w:contextualSpacing/>
        <w:rPr>
          <w:rFonts w:eastAsia="Consolas"/>
          <w:b/>
          <w:color w:val="000000"/>
          <w:sz w:val="28"/>
          <w:szCs w:val="28"/>
        </w:rPr>
      </w:pPr>
    </w:p>
    <w:p w:rsidR="00C17F08" w:rsidRPr="00B54294" w:rsidRDefault="00C17F08" w:rsidP="00C17F08">
      <w:pPr>
        <w:ind w:right="480"/>
        <w:contextualSpacing/>
        <w:jc w:val="center"/>
        <w:rPr>
          <w:b/>
          <w:sz w:val="28"/>
          <w:szCs w:val="28"/>
        </w:rPr>
      </w:pPr>
      <w:r w:rsidRPr="00B54294">
        <w:rPr>
          <w:b/>
          <w:sz w:val="28"/>
          <w:szCs w:val="28"/>
        </w:rPr>
        <w:t>ПРЕДПИСАНИЕ</w:t>
      </w:r>
    </w:p>
    <w:p w:rsidR="00C17F08" w:rsidRPr="00B54294" w:rsidRDefault="00C17F08" w:rsidP="00C17F08">
      <w:pPr>
        <w:ind w:right="480"/>
        <w:contextualSpacing/>
        <w:jc w:val="center"/>
        <w:rPr>
          <w:b/>
          <w:sz w:val="28"/>
          <w:szCs w:val="28"/>
        </w:rPr>
      </w:pPr>
      <w:r w:rsidRPr="00B54294">
        <w:rPr>
          <w:b/>
          <w:sz w:val="28"/>
          <w:szCs w:val="28"/>
        </w:rPr>
        <w:t xml:space="preserve">Ревизионной комиссии по городу </w:t>
      </w:r>
      <w:r>
        <w:rPr>
          <w:b/>
          <w:sz w:val="28"/>
          <w:szCs w:val="28"/>
        </w:rPr>
        <w:t>Астана</w:t>
      </w:r>
    </w:p>
    <w:p w:rsidR="00C17F08" w:rsidRPr="00B54294" w:rsidRDefault="00C17F08" w:rsidP="00C17F08">
      <w:pPr>
        <w:ind w:right="480"/>
        <w:contextualSpacing/>
        <w:rPr>
          <w:b/>
          <w:sz w:val="28"/>
          <w:szCs w:val="28"/>
        </w:rPr>
      </w:pPr>
    </w:p>
    <w:p w:rsidR="00C17F08" w:rsidRPr="00246DEF" w:rsidRDefault="00C17F08" w:rsidP="00C17F08">
      <w:pPr>
        <w:ind w:right="-2"/>
        <w:contextualSpacing/>
        <w:rPr>
          <w:b/>
          <w:sz w:val="28"/>
          <w:szCs w:val="28"/>
        </w:rPr>
      </w:pPr>
      <w:r w:rsidRPr="00B54294">
        <w:rPr>
          <w:b/>
          <w:sz w:val="28"/>
          <w:szCs w:val="28"/>
        </w:rPr>
        <w:t xml:space="preserve">г. </w:t>
      </w:r>
      <w:r>
        <w:rPr>
          <w:b/>
          <w:sz w:val="28"/>
          <w:szCs w:val="28"/>
        </w:rPr>
        <w:t>Астана</w:t>
      </w:r>
      <w:r w:rsidRPr="00B54294">
        <w:rPr>
          <w:b/>
          <w:sz w:val="28"/>
          <w:szCs w:val="28"/>
        </w:rPr>
        <w:tab/>
      </w:r>
      <w:r w:rsidRPr="00B54294">
        <w:rPr>
          <w:b/>
          <w:sz w:val="28"/>
          <w:szCs w:val="28"/>
        </w:rPr>
        <w:tab/>
      </w:r>
      <w:r w:rsidRPr="00B54294">
        <w:rPr>
          <w:b/>
          <w:sz w:val="28"/>
          <w:szCs w:val="28"/>
        </w:rPr>
        <w:tab/>
      </w:r>
      <w:r w:rsidRPr="00B54294">
        <w:rPr>
          <w:b/>
          <w:sz w:val="28"/>
          <w:szCs w:val="28"/>
        </w:rPr>
        <w:tab/>
        <w:t>№</w:t>
      </w:r>
      <w:r>
        <w:rPr>
          <w:b/>
          <w:sz w:val="28"/>
          <w:szCs w:val="28"/>
        </w:rPr>
        <w:t>5-1-Н</w:t>
      </w:r>
      <w:r w:rsidRPr="00B54294">
        <w:rPr>
          <w:b/>
          <w:sz w:val="28"/>
          <w:szCs w:val="28"/>
        </w:rPr>
        <w:t xml:space="preserve">       </w:t>
      </w:r>
      <w:r>
        <w:rPr>
          <w:b/>
          <w:sz w:val="28"/>
          <w:szCs w:val="28"/>
        </w:rPr>
        <w:t xml:space="preserve">     </w:t>
      </w:r>
      <w:r w:rsidRPr="00B54294">
        <w:rPr>
          <w:b/>
          <w:sz w:val="28"/>
          <w:szCs w:val="28"/>
        </w:rPr>
        <w:t xml:space="preserve">  </w:t>
      </w:r>
      <w:r>
        <w:rPr>
          <w:b/>
          <w:sz w:val="28"/>
          <w:szCs w:val="28"/>
        </w:rPr>
        <w:t xml:space="preserve">       </w:t>
      </w:r>
      <w:r w:rsidRPr="00B54294">
        <w:rPr>
          <w:b/>
          <w:sz w:val="28"/>
          <w:szCs w:val="28"/>
        </w:rPr>
        <w:t>«</w:t>
      </w:r>
      <w:r>
        <w:rPr>
          <w:b/>
          <w:sz w:val="28"/>
          <w:szCs w:val="28"/>
        </w:rPr>
        <w:t>11</w:t>
      </w:r>
      <w:r w:rsidRPr="00B54294">
        <w:rPr>
          <w:b/>
          <w:sz w:val="28"/>
          <w:szCs w:val="28"/>
        </w:rPr>
        <w:t xml:space="preserve">» </w:t>
      </w:r>
      <w:r>
        <w:rPr>
          <w:b/>
          <w:sz w:val="28"/>
          <w:szCs w:val="28"/>
        </w:rPr>
        <w:t>мая</w:t>
      </w:r>
      <w:r w:rsidRPr="00B54294">
        <w:rPr>
          <w:b/>
          <w:sz w:val="28"/>
          <w:szCs w:val="28"/>
        </w:rPr>
        <w:t xml:space="preserve"> 202</w:t>
      </w:r>
      <w:r>
        <w:rPr>
          <w:b/>
          <w:sz w:val="28"/>
          <w:szCs w:val="28"/>
        </w:rPr>
        <w:t>3</w:t>
      </w:r>
      <w:r w:rsidRPr="00B54294">
        <w:rPr>
          <w:b/>
          <w:sz w:val="28"/>
          <w:szCs w:val="28"/>
        </w:rPr>
        <w:t xml:space="preserve"> года</w:t>
      </w:r>
    </w:p>
    <w:p w:rsidR="00C17F08" w:rsidRDefault="00C17F08" w:rsidP="00C17F08">
      <w:pPr>
        <w:ind w:right="480"/>
        <w:contextualSpacing/>
        <w:rPr>
          <w:b/>
          <w:sz w:val="28"/>
          <w:szCs w:val="28"/>
        </w:rPr>
      </w:pPr>
    </w:p>
    <w:p w:rsidR="00C17F08" w:rsidRPr="00017D85" w:rsidRDefault="00C17F08" w:rsidP="00C17F08">
      <w:pPr>
        <w:widowControl w:val="0"/>
        <w:ind w:firstLine="709"/>
        <w:contextualSpacing/>
        <w:jc w:val="center"/>
        <w:rPr>
          <w:b/>
          <w:sz w:val="28"/>
          <w:szCs w:val="28"/>
        </w:rPr>
      </w:pPr>
      <w:r w:rsidRPr="00017D85">
        <w:rPr>
          <w:b/>
          <w:sz w:val="28"/>
          <w:szCs w:val="28"/>
        </w:rPr>
        <w:t>Об итогах государственного аудита консолидированной финансовой отчетности местного бюджета</w:t>
      </w:r>
    </w:p>
    <w:p w:rsidR="00C17F08" w:rsidRPr="00017D85" w:rsidRDefault="00C17F08" w:rsidP="00C17F08">
      <w:pPr>
        <w:widowControl w:val="0"/>
        <w:ind w:firstLine="709"/>
        <w:contextualSpacing/>
        <w:jc w:val="center"/>
        <w:rPr>
          <w:sz w:val="28"/>
          <w:szCs w:val="28"/>
        </w:rPr>
      </w:pPr>
    </w:p>
    <w:p w:rsidR="00C17F08" w:rsidRPr="000D22C5" w:rsidRDefault="00C17F08" w:rsidP="00C17F08">
      <w:pPr>
        <w:spacing w:line="0" w:lineRule="atLeast"/>
        <w:ind w:firstLine="709"/>
        <w:contextualSpacing/>
        <w:jc w:val="both"/>
        <w:rPr>
          <w:sz w:val="28"/>
          <w:szCs w:val="28"/>
        </w:rPr>
      </w:pPr>
      <w:r w:rsidRPr="00017D85">
        <w:rPr>
          <w:sz w:val="28"/>
          <w:szCs w:val="28"/>
        </w:rPr>
        <w:t xml:space="preserve">Проведенный Ревизионной комиссией по городу Астана (далее – Ревизионная комиссия) государственный аудит консолидированной финансовой отчетности местного бюджета показал, что что консолидированная финансовая отчетность местного бюджета и администраторов бюджетных программ, охваченных аудитом, отражает достоверно во всех существенных отношениях финансовое положение по состоянию на 31 декабря 2022 года, результаты финансово-хозяйственной деятельности и движение денежных средств за 2022 год в соответствии с требованиями, установленными законодательством Республики </w:t>
      </w:r>
      <w:r w:rsidRPr="000D22C5">
        <w:rPr>
          <w:sz w:val="28"/>
          <w:szCs w:val="28"/>
        </w:rPr>
        <w:t>Казахстан за исключением влияния на финансовую отчетность обстоятельств, изложенных в разделе, содержащем основание для выражения мнения с оговоркой.</w:t>
      </w:r>
    </w:p>
    <w:p w:rsidR="00C17F08" w:rsidRPr="000D22C5" w:rsidRDefault="00C17F08" w:rsidP="00C17F08">
      <w:pPr>
        <w:spacing w:line="0" w:lineRule="atLeast"/>
        <w:ind w:firstLine="709"/>
        <w:contextualSpacing/>
        <w:jc w:val="both"/>
        <w:rPr>
          <w:spacing w:val="2"/>
          <w:sz w:val="28"/>
          <w:szCs w:val="28"/>
        </w:rPr>
      </w:pPr>
      <w:r w:rsidRPr="000D22C5">
        <w:rPr>
          <w:spacing w:val="2"/>
          <w:sz w:val="28"/>
          <w:szCs w:val="28"/>
        </w:rPr>
        <w:t xml:space="preserve">На основании полученных аудиторских доказательств, выражено </w:t>
      </w:r>
      <w:r w:rsidRPr="000D22C5">
        <w:rPr>
          <w:b/>
          <w:spacing w:val="2"/>
          <w:sz w:val="28"/>
          <w:szCs w:val="28"/>
        </w:rPr>
        <w:t>мнение с оговоркой</w:t>
      </w:r>
      <w:r w:rsidRPr="000D22C5">
        <w:rPr>
          <w:spacing w:val="2"/>
          <w:sz w:val="28"/>
          <w:szCs w:val="28"/>
        </w:rPr>
        <w:t>, так как получен вывод о том, что влияние искажения на финансовую отчетность является существенным для финансовой отчетности в целом, но не всеобъемлющим.</w:t>
      </w:r>
    </w:p>
    <w:p w:rsidR="00C17F08" w:rsidRPr="000D22C5" w:rsidRDefault="00C17F08" w:rsidP="00C17F08">
      <w:pPr>
        <w:pStyle w:val="af"/>
        <w:tabs>
          <w:tab w:val="left" w:pos="3870"/>
        </w:tabs>
        <w:spacing w:after="0" w:line="240" w:lineRule="auto"/>
        <w:ind w:left="0" w:firstLine="709"/>
        <w:jc w:val="both"/>
        <w:rPr>
          <w:rFonts w:ascii="Times New Roman" w:hAnsi="Times New Roman"/>
          <w:i/>
          <w:spacing w:val="2"/>
          <w:sz w:val="24"/>
          <w:szCs w:val="24"/>
          <w:highlight w:val="yellow"/>
          <w:lang w:eastAsia="ru-RU"/>
        </w:rPr>
      </w:pPr>
      <w:r w:rsidRPr="000D22C5">
        <w:rPr>
          <w:rFonts w:ascii="Times New Roman" w:hAnsi="Times New Roman"/>
          <w:sz w:val="28"/>
          <w:szCs w:val="28"/>
        </w:rPr>
        <w:t xml:space="preserve">Так, </w:t>
      </w:r>
      <w:r w:rsidRPr="000D22C5">
        <w:rPr>
          <w:rFonts w:ascii="Times New Roman" w:hAnsi="Times New Roman"/>
          <w:spacing w:val="2"/>
          <w:sz w:val="28"/>
          <w:szCs w:val="28"/>
          <w:lang w:eastAsia="ru-RU"/>
        </w:rPr>
        <w:t xml:space="preserve">при усредненном значении порога существенности в целом для КФО МБ в размере 28 007 393,7 тыс. тенге общая сумма искажений финансовой отчетности, являющихся существенными, по результатам настоящего аудита и информации Департамента </w:t>
      </w:r>
      <w:r w:rsidRPr="000D22C5">
        <w:rPr>
          <w:rFonts w:ascii="Times New Roman" w:hAnsi="Times New Roman"/>
          <w:sz w:val="28"/>
          <w:szCs w:val="28"/>
        </w:rPr>
        <w:t xml:space="preserve">внутреннего государственного аудита по городу Астана </w:t>
      </w:r>
      <w:r w:rsidRPr="000D22C5">
        <w:rPr>
          <w:rFonts w:ascii="Times New Roman" w:hAnsi="Times New Roman"/>
          <w:spacing w:val="2"/>
          <w:sz w:val="28"/>
          <w:szCs w:val="28"/>
          <w:lang w:eastAsia="ru-RU"/>
        </w:rPr>
        <w:t xml:space="preserve">составила на </w:t>
      </w:r>
      <w:r w:rsidRPr="000D22C5">
        <w:rPr>
          <w:rFonts w:ascii="Times New Roman" w:hAnsi="Times New Roman"/>
          <w:b/>
          <w:spacing w:val="2"/>
          <w:sz w:val="28"/>
          <w:szCs w:val="28"/>
          <w:lang w:eastAsia="ru-RU"/>
        </w:rPr>
        <w:t xml:space="preserve">сумму </w:t>
      </w:r>
      <w:r w:rsidRPr="000D22C5">
        <w:rPr>
          <w:rFonts w:ascii="Times New Roman" w:hAnsi="Times New Roman"/>
          <w:b/>
          <w:sz w:val="28"/>
          <w:szCs w:val="28"/>
          <w:lang w:eastAsia="ru-RU"/>
        </w:rPr>
        <w:t>60 250 413,4</w:t>
      </w:r>
      <w:r w:rsidRPr="000D22C5">
        <w:rPr>
          <w:rFonts w:ascii="Times New Roman" w:hAnsi="Times New Roman"/>
          <w:b/>
          <w:spacing w:val="2"/>
          <w:sz w:val="28"/>
          <w:szCs w:val="28"/>
          <w:lang w:eastAsia="ru-RU"/>
        </w:rPr>
        <w:t xml:space="preserve"> </w:t>
      </w:r>
      <w:r w:rsidRPr="000D22C5">
        <w:rPr>
          <w:rFonts w:ascii="Times New Roman" w:hAnsi="Times New Roman"/>
          <w:b/>
          <w:spacing w:val="2"/>
          <w:sz w:val="28"/>
          <w:szCs w:val="28"/>
          <w:lang w:eastAsia="ru-RU"/>
        </w:rPr>
        <w:lastRenderedPageBreak/>
        <w:t xml:space="preserve">тыс. тенге </w:t>
      </w:r>
      <w:r w:rsidRPr="000D22C5">
        <w:rPr>
          <w:rFonts w:ascii="Times New Roman" w:hAnsi="Times New Roman"/>
          <w:i/>
          <w:spacing w:val="2"/>
          <w:sz w:val="24"/>
          <w:szCs w:val="24"/>
          <w:lang w:eastAsia="ru-RU"/>
        </w:rPr>
        <w:t>(Управление строительства – 4 244 419,1 тыс. тенге, Управление энергетики – 22 901 324,1 тыс. тенге, Управление транспорта – 1 513 817,5 тыс. тенге, Управление цифровизации – 2 200 712,2 тыс. тенге, Управление природопользования – 4 611 256,2 тыс. тенге, Управление по делам религий – 47 267,6 тыс. тенге, Управление образования – 24 638 882,8 тыс. тенге, Управление по инвестициям – 89 434,9 тыс. тенге, Управление внутренней политики – 836,4 тыс. тенге, Управление активов – 2 462,6 тыс. тенге).</w:t>
      </w:r>
    </w:p>
    <w:p w:rsidR="00C17F08" w:rsidRPr="00A67E69" w:rsidRDefault="00C17F08" w:rsidP="00C17F08">
      <w:pPr>
        <w:ind w:firstLine="709"/>
        <w:contextualSpacing/>
        <w:jc w:val="both"/>
        <w:rPr>
          <w:sz w:val="28"/>
          <w:szCs w:val="28"/>
        </w:rPr>
      </w:pPr>
      <w:r w:rsidRPr="000D22C5">
        <w:rPr>
          <w:sz w:val="28"/>
          <w:szCs w:val="28"/>
        </w:rPr>
        <w:t>Подробное описание фактов</w:t>
      </w:r>
      <w:r w:rsidRPr="00A67E69">
        <w:rPr>
          <w:sz w:val="28"/>
          <w:szCs w:val="28"/>
        </w:rPr>
        <w:t xml:space="preserve"> выявленных нарушений и недостатков приводится в прилагаемом Аудиторском заключении.</w:t>
      </w:r>
    </w:p>
    <w:p w:rsidR="00C17F08" w:rsidRPr="00A67E69" w:rsidRDefault="00C17F08" w:rsidP="00C17F08">
      <w:pPr>
        <w:pStyle w:val="ae"/>
        <w:spacing w:before="0" w:beforeAutospacing="0" w:after="0" w:afterAutospacing="0"/>
        <w:ind w:firstLine="709"/>
        <w:contextualSpacing/>
        <w:jc w:val="both"/>
        <w:rPr>
          <w:rFonts w:eastAsia="Calibri"/>
          <w:sz w:val="28"/>
          <w:szCs w:val="28"/>
        </w:rPr>
      </w:pPr>
      <w:r w:rsidRPr="00A67E69">
        <w:rPr>
          <w:rFonts w:eastAsia="Calibri"/>
          <w:sz w:val="28"/>
          <w:szCs w:val="28"/>
        </w:rPr>
        <w:t xml:space="preserve">Исходя из вышеизложенного, Ревизионная комиссия </w:t>
      </w:r>
      <w:r w:rsidRPr="00A67E69">
        <w:rPr>
          <w:rFonts w:eastAsia="Calibri"/>
          <w:b/>
          <w:sz w:val="28"/>
          <w:szCs w:val="28"/>
        </w:rPr>
        <w:t>ПОРУЧАЕТ:</w:t>
      </w:r>
    </w:p>
    <w:p w:rsidR="00C17F08" w:rsidRPr="00B7046D" w:rsidRDefault="00C17F08" w:rsidP="00C17F08">
      <w:pPr>
        <w:spacing w:line="0" w:lineRule="atLeast"/>
        <w:ind w:firstLine="709"/>
        <w:contextualSpacing/>
        <w:jc w:val="both"/>
        <w:rPr>
          <w:color w:val="000000"/>
          <w:sz w:val="28"/>
          <w:szCs w:val="28"/>
        </w:rPr>
      </w:pPr>
      <w:r w:rsidRPr="002902D9">
        <w:rPr>
          <w:b/>
          <w:bCs/>
          <w:sz w:val="28"/>
          <w:szCs w:val="28"/>
        </w:rPr>
        <w:t>1</w:t>
      </w:r>
      <w:r w:rsidRPr="00B7046D">
        <w:rPr>
          <w:b/>
          <w:bCs/>
          <w:sz w:val="28"/>
          <w:szCs w:val="28"/>
        </w:rPr>
        <w:t xml:space="preserve">. </w:t>
      </w:r>
      <w:r w:rsidRPr="00B7046D">
        <w:rPr>
          <w:b/>
          <w:sz w:val="28"/>
          <w:szCs w:val="28"/>
        </w:rPr>
        <w:t xml:space="preserve">Управлению </w:t>
      </w:r>
      <w:r w:rsidRPr="00B7046D">
        <w:rPr>
          <w:b/>
          <w:color w:val="000000"/>
          <w:sz w:val="28"/>
          <w:szCs w:val="28"/>
        </w:rPr>
        <w:t>финансов города Астана</w:t>
      </w:r>
      <w:r w:rsidRPr="00B85193">
        <w:rPr>
          <w:b/>
          <w:sz w:val="28"/>
          <w:szCs w:val="28"/>
        </w:rPr>
        <w:t xml:space="preserve"> </w:t>
      </w:r>
      <w:r w:rsidRPr="00B7046D">
        <w:rPr>
          <w:sz w:val="28"/>
          <w:szCs w:val="28"/>
        </w:rPr>
        <w:t xml:space="preserve">в срок </w:t>
      </w:r>
      <w:r w:rsidRPr="00B7046D">
        <w:rPr>
          <w:b/>
          <w:sz w:val="28"/>
          <w:szCs w:val="28"/>
        </w:rPr>
        <w:t xml:space="preserve">до 15 </w:t>
      </w:r>
      <w:bookmarkStart w:id="1" w:name="_Hlk134706349"/>
      <w:r>
        <w:rPr>
          <w:b/>
          <w:sz w:val="28"/>
          <w:szCs w:val="28"/>
        </w:rPr>
        <w:t>октября</w:t>
      </w:r>
      <w:r w:rsidRPr="00B7046D">
        <w:rPr>
          <w:b/>
          <w:sz w:val="28"/>
          <w:szCs w:val="28"/>
        </w:rPr>
        <w:t xml:space="preserve"> </w:t>
      </w:r>
      <w:bookmarkEnd w:id="1"/>
      <w:r w:rsidRPr="00B7046D">
        <w:rPr>
          <w:b/>
          <w:sz w:val="28"/>
          <w:szCs w:val="28"/>
        </w:rPr>
        <w:t>2023 года</w:t>
      </w:r>
      <w:r w:rsidRPr="00B7046D">
        <w:rPr>
          <w:sz w:val="28"/>
          <w:szCs w:val="28"/>
        </w:rPr>
        <w:t xml:space="preserve"> </w:t>
      </w:r>
      <w:r w:rsidRPr="00B7046D">
        <w:rPr>
          <w:color w:val="000000"/>
          <w:sz w:val="28"/>
          <w:szCs w:val="28"/>
        </w:rPr>
        <w:t>организовать повышение квалификации работников бухгалтерий администраторов бюджетных программ с акцентом на правильности отражения финансовых инвестиций.</w:t>
      </w:r>
    </w:p>
    <w:p w:rsidR="00C17F08" w:rsidRPr="00D124A4" w:rsidRDefault="00C17F08" w:rsidP="00C17F08">
      <w:pPr>
        <w:ind w:firstLine="709"/>
        <w:contextualSpacing/>
        <w:jc w:val="both"/>
        <w:rPr>
          <w:rFonts w:eastAsia="Calibri"/>
          <w:sz w:val="28"/>
          <w:szCs w:val="28"/>
        </w:rPr>
      </w:pPr>
      <w:r w:rsidRPr="00CA1933">
        <w:rPr>
          <w:b/>
          <w:sz w:val="28"/>
          <w:szCs w:val="28"/>
        </w:rPr>
        <w:t>2</w:t>
      </w:r>
      <w:r w:rsidRPr="00CA1933">
        <w:rPr>
          <w:rFonts w:eastAsia="Calibri"/>
          <w:b/>
          <w:sz w:val="28"/>
          <w:szCs w:val="28"/>
        </w:rPr>
        <w:t>.</w:t>
      </w:r>
      <w:r w:rsidRPr="00A67E69">
        <w:rPr>
          <w:rFonts w:eastAsia="Calibri"/>
          <w:sz w:val="28"/>
          <w:szCs w:val="28"/>
        </w:rPr>
        <w:t xml:space="preserve"> Информацию о принятых мерах с приложением подтверждающих документов предоставить</w:t>
      </w:r>
      <w:r w:rsidRPr="00D124A4">
        <w:rPr>
          <w:rFonts w:eastAsia="Calibri"/>
          <w:sz w:val="28"/>
          <w:szCs w:val="28"/>
        </w:rPr>
        <w:t xml:space="preserve"> в Ревизионную комиссию в установленные сроки</w:t>
      </w:r>
      <w:r>
        <w:rPr>
          <w:rFonts w:eastAsia="Calibri"/>
          <w:sz w:val="28"/>
          <w:szCs w:val="28"/>
        </w:rPr>
        <w:t xml:space="preserve">. </w:t>
      </w:r>
      <w:r w:rsidRPr="00D124A4">
        <w:rPr>
          <w:rFonts w:eastAsia="Calibri"/>
          <w:sz w:val="28"/>
          <w:szCs w:val="28"/>
        </w:rPr>
        <w:t>Невыполнение или ненадлежащее выполнение настоящего Предписания влечёт за собой административную ответственность в соответствии с частью 3 статьи 462 Кодекса Республики Казахстан «Об административных правонарушениях».</w:t>
      </w:r>
    </w:p>
    <w:p w:rsidR="00C17F08" w:rsidRPr="00780446" w:rsidRDefault="00C17F08" w:rsidP="00C17F08">
      <w:pPr>
        <w:pStyle w:val="ae"/>
        <w:spacing w:before="0" w:beforeAutospacing="0" w:after="0" w:afterAutospacing="0"/>
        <w:ind w:firstLine="709"/>
        <w:contextualSpacing/>
        <w:jc w:val="both"/>
        <w:rPr>
          <w:rFonts w:eastAsia="Calibri"/>
          <w:sz w:val="28"/>
          <w:szCs w:val="28"/>
        </w:rPr>
      </w:pPr>
    </w:p>
    <w:p w:rsidR="00C17F08" w:rsidRPr="00641126" w:rsidRDefault="00C17F08" w:rsidP="00C17F08">
      <w:pPr>
        <w:pStyle w:val="ae"/>
        <w:widowControl w:val="0"/>
        <w:tabs>
          <w:tab w:val="left" w:pos="0"/>
        </w:tabs>
        <w:spacing w:before="0" w:beforeAutospacing="0" w:after="0" w:afterAutospacing="0"/>
        <w:ind w:firstLine="709"/>
        <w:jc w:val="both"/>
        <w:rPr>
          <w:sz w:val="28"/>
          <w:szCs w:val="28"/>
          <w:lang w:eastAsia="x-none"/>
        </w:rPr>
      </w:pPr>
      <w:r w:rsidRPr="00780446">
        <w:rPr>
          <w:b/>
          <w:sz w:val="28"/>
          <w:szCs w:val="28"/>
          <w:lang w:eastAsia="x-none"/>
        </w:rPr>
        <w:t>Приложение:</w:t>
      </w:r>
      <w:r w:rsidRPr="00780446">
        <w:rPr>
          <w:sz w:val="28"/>
          <w:szCs w:val="28"/>
          <w:lang w:eastAsia="x-none"/>
        </w:rPr>
        <w:t xml:space="preserve"> Заключение по итогам</w:t>
      </w:r>
      <w:r w:rsidRPr="00641126">
        <w:rPr>
          <w:sz w:val="28"/>
          <w:szCs w:val="28"/>
          <w:lang w:eastAsia="x-none"/>
        </w:rPr>
        <w:t xml:space="preserve"> аудиторского мероприятия (с приложениями) и сводный реестр на </w:t>
      </w:r>
      <w:r>
        <w:rPr>
          <w:sz w:val="28"/>
          <w:szCs w:val="28"/>
          <w:lang w:eastAsia="x-none"/>
        </w:rPr>
        <w:t>___</w:t>
      </w:r>
      <w:r w:rsidRPr="00641126">
        <w:rPr>
          <w:sz w:val="28"/>
          <w:szCs w:val="28"/>
          <w:lang w:eastAsia="x-none"/>
        </w:rPr>
        <w:t xml:space="preserve"> листах.</w:t>
      </w:r>
    </w:p>
    <w:p w:rsidR="00C17F08" w:rsidRPr="00641126" w:rsidRDefault="00C17F08" w:rsidP="00C17F08">
      <w:pPr>
        <w:pStyle w:val="ae"/>
        <w:widowControl w:val="0"/>
        <w:tabs>
          <w:tab w:val="left" w:pos="0"/>
        </w:tabs>
        <w:spacing w:before="0" w:beforeAutospacing="0" w:after="0" w:afterAutospacing="0"/>
        <w:ind w:firstLine="709"/>
        <w:jc w:val="both"/>
        <w:rPr>
          <w:sz w:val="28"/>
          <w:szCs w:val="28"/>
          <w:lang w:eastAsia="x-none"/>
        </w:rPr>
      </w:pPr>
    </w:p>
    <w:p w:rsidR="00C17F08" w:rsidRPr="00641126" w:rsidRDefault="00C17F08" w:rsidP="00C17F08">
      <w:pPr>
        <w:pStyle w:val="ae"/>
        <w:widowControl w:val="0"/>
        <w:tabs>
          <w:tab w:val="left" w:pos="0"/>
        </w:tabs>
        <w:spacing w:before="0" w:beforeAutospacing="0" w:after="0" w:afterAutospacing="0"/>
        <w:ind w:firstLine="709"/>
        <w:jc w:val="both"/>
        <w:rPr>
          <w:sz w:val="28"/>
          <w:szCs w:val="28"/>
          <w:lang w:eastAsia="x-none"/>
        </w:rPr>
      </w:pPr>
    </w:p>
    <w:p w:rsidR="00C17F08" w:rsidRPr="00246DEF" w:rsidRDefault="00C17F08" w:rsidP="00C17F08">
      <w:pPr>
        <w:ind w:firstLine="709"/>
        <w:contextualSpacing/>
        <w:jc w:val="center"/>
        <w:rPr>
          <w:b/>
          <w:sz w:val="28"/>
          <w:szCs w:val="28"/>
        </w:rPr>
      </w:pPr>
      <w:r w:rsidRPr="00641126">
        <w:rPr>
          <w:b/>
          <w:sz w:val="28"/>
          <w:szCs w:val="28"/>
        </w:rPr>
        <w:t xml:space="preserve">Член Ревизионной комиссии </w:t>
      </w:r>
      <w:r w:rsidRPr="00641126">
        <w:rPr>
          <w:b/>
          <w:sz w:val="28"/>
          <w:szCs w:val="28"/>
        </w:rPr>
        <w:tab/>
      </w:r>
      <w:r w:rsidRPr="00641126">
        <w:rPr>
          <w:b/>
          <w:sz w:val="28"/>
          <w:szCs w:val="28"/>
        </w:rPr>
        <w:tab/>
      </w:r>
      <w:r w:rsidRPr="00641126">
        <w:rPr>
          <w:b/>
          <w:sz w:val="28"/>
          <w:szCs w:val="28"/>
        </w:rPr>
        <w:tab/>
      </w:r>
      <w:r w:rsidRPr="00641126">
        <w:rPr>
          <w:b/>
          <w:sz w:val="28"/>
          <w:szCs w:val="28"/>
        </w:rPr>
        <w:tab/>
      </w:r>
      <w:r w:rsidRPr="00641126">
        <w:rPr>
          <w:b/>
          <w:sz w:val="28"/>
          <w:szCs w:val="28"/>
        </w:rPr>
        <w:tab/>
        <w:t xml:space="preserve">        Е. Лебо</w:t>
      </w:r>
    </w:p>
    <w:p w:rsidR="00C17F08" w:rsidRPr="00246DEF" w:rsidRDefault="00C17F08" w:rsidP="00C17F08">
      <w:pPr>
        <w:ind w:firstLine="709"/>
        <w:contextualSpacing/>
        <w:jc w:val="center"/>
        <w:rPr>
          <w:b/>
          <w:sz w:val="28"/>
          <w:szCs w:val="28"/>
        </w:rPr>
      </w:pPr>
    </w:p>
    <w:p w:rsidR="005307ED" w:rsidRPr="00762903" w:rsidRDefault="005307ED">
      <w:pPr>
        <w:pStyle w:val="a3"/>
        <w:tabs>
          <w:tab w:val="clear" w:pos="9355"/>
          <w:tab w:val="right" w:pos="10260"/>
        </w:tabs>
        <w:rPr>
          <w:color w:val="6600FF"/>
          <w:sz w:val="16"/>
          <w:szCs w:val="16"/>
          <w:lang w:val="en-US"/>
        </w:rPr>
      </w:pPr>
    </w:p>
    <w:p w:rsidR="00674F50" w:rsidRPr="001A04A3" w:rsidRDefault="00674F50" w:rsidP="00C357E2">
      <w:pPr>
        <w:ind w:firstLine="709"/>
        <w:jc w:val="both"/>
        <w:rPr>
          <w:bCs/>
          <w:color w:val="0C0000"/>
          <w:sz w:val="28"/>
          <w:szCs w:val="28"/>
          <w:lang w:val="kk-KZ"/>
        </w:rPr>
      </w:pPr>
    </w:p>
    <w:sectPr w:rsidR="00674F50" w:rsidRPr="001A04A3" w:rsidSect="00DF4ABD">
      <w:footerReference w:type="default" r:id="rId8"/>
      <w:headerReference w:type="firs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76" w:rsidRDefault="00E44E76">
      <w:r>
        <w:separator/>
      </w:r>
    </w:p>
  </w:endnote>
  <w:endnote w:type="continuationSeparator" w:id="0">
    <w:p w:rsidR="00E44E76" w:rsidRDefault="00E4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8" w:rsidRDefault="00C17F08">
    <w:pPr>
      <w:pStyle w:val="a6"/>
      <w:jc w:val="center"/>
    </w:pPr>
    <w:r>
      <w:fldChar w:fldCharType="begin"/>
    </w:r>
    <w:r>
      <w:instrText>PAGE   \* MERGEFORMAT</w:instrText>
    </w:r>
    <w:r>
      <w:fldChar w:fldCharType="separate"/>
    </w:r>
    <w:r w:rsidR="00211CF2" w:rsidRPr="00211CF2">
      <w:rPr>
        <w:noProof/>
        <w:lang w:val="ru-RU"/>
      </w:rPr>
      <w:t>2</w:t>
    </w:r>
    <w:r>
      <w:fldChar w:fldCharType="end"/>
    </w:r>
  </w:p>
  <w:p w:rsidR="00C17F08" w:rsidRDefault="00C17F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76" w:rsidRDefault="00E44E76">
      <w:r>
        <w:separator/>
      </w:r>
    </w:p>
  </w:footnote>
  <w:footnote w:type="continuationSeparator" w:id="0">
    <w:p w:rsidR="00E44E76" w:rsidRDefault="00E4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652"/>
      <w:tblW w:w="10172" w:type="dxa"/>
      <w:tblLook w:val="04A0" w:firstRow="1" w:lastRow="0" w:firstColumn="1" w:lastColumn="0" w:noHBand="0" w:noVBand="1"/>
    </w:tblPr>
    <w:tblGrid>
      <w:gridCol w:w="4091"/>
      <w:gridCol w:w="2225"/>
      <w:gridCol w:w="3856"/>
    </w:tblGrid>
    <w:tr w:rsidR="00BC372B" w:rsidRPr="00C6407A" w:rsidTr="00C6407A">
      <w:tc>
        <w:tcPr>
          <w:tcW w:w="4091" w:type="dxa"/>
          <w:tcBorders>
            <w:bottom w:val="single" w:sz="24" w:space="0" w:color="57257D"/>
          </w:tcBorders>
          <w:shd w:val="clear" w:color="auto" w:fill="auto"/>
        </w:tcPr>
        <w:p w:rsidR="00BC372B" w:rsidRPr="00C6407A" w:rsidRDefault="00BC372B" w:rsidP="00C6407A">
          <w:pPr>
            <w:spacing w:line="312" w:lineRule="auto"/>
            <w:jc w:val="center"/>
            <w:rPr>
              <w:rFonts w:eastAsia="Calibri"/>
              <w:b/>
              <w:color w:val="57257D"/>
              <w:sz w:val="22"/>
              <w:szCs w:val="22"/>
              <w:lang w:eastAsia="en-US"/>
            </w:rPr>
          </w:pPr>
        </w:p>
        <w:p w:rsidR="00BC372B" w:rsidRPr="00C6407A" w:rsidRDefault="00BC372B" w:rsidP="00C6407A">
          <w:pPr>
            <w:spacing w:line="312" w:lineRule="auto"/>
            <w:jc w:val="center"/>
            <w:rPr>
              <w:rFonts w:eastAsia="Calibri"/>
              <w:b/>
              <w:color w:val="57257D"/>
              <w:sz w:val="22"/>
              <w:szCs w:val="22"/>
              <w:lang w:eastAsia="en-US"/>
            </w:rPr>
          </w:pPr>
        </w:p>
        <w:p w:rsidR="00BC372B" w:rsidRPr="00C6407A" w:rsidRDefault="00211CF2" w:rsidP="00C6407A">
          <w:pPr>
            <w:spacing w:line="312" w:lineRule="auto"/>
            <w:jc w:val="center"/>
            <w:rPr>
              <w:rFonts w:eastAsia="Calibri"/>
              <w:b/>
              <w:color w:val="57257D"/>
              <w:sz w:val="22"/>
              <w:szCs w:val="22"/>
              <w:lang w:val="kk-KZ" w:eastAsia="en-US"/>
            </w:rPr>
          </w:pPr>
          <w:r>
            <w:rPr>
              <w:rFonts w:eastAsia="Calibri"/>
              <w:b/>
              <w:noProof/>
              <w:color w:val="57257D"/>
              <w:sz w:val="22"/>
              <w:szCs w:val="22"/>
            </w:rPr>
            <mc:AlternateContent>
              <mc:Choice Requires="wps">
                <w:drawing>
                  <wp:anchor distT="0" distB="0" distL="114300" distR="114300" simplePos="0" relativeHeight="251658240" behindDoc="0" locked="0" layoutInCell="1" allowOverlap="1">
                    <wp:simplePos x="0" y="0"/>
                    <wp:positionH relativeFrom="column">
                      <wp:posOffset>6380480</wp:posOffset>
                    </wp:positionH>
                    <wp:positionV relativeFrom="paragraph">
                      <wp:posOffset>346075</wp:posOffset>
                    </wp:positionV>
                    <wp:extent cx="381000" cy="8018780"/>
                    <wp:effectExtent l="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BC2" w:rsidRPr="00A45BC2" w:rsidRDefault="00A45BC2">
                                <w:pPr>
                                  <w:rPr>
                                    <w:color w:val="0C0000"/>
                                    <w:sz w:val="14"/>
                                  </w:rPr>
                                </w:pPr>
                                <w:r>
                                  <w:rPr>
                                    <w:color w:val="0C0000"/>
                                    <w:sz w:val="14"/>
                                  </w:rPr>
                                  <w:t xml:space="preserve">12.05.2023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2.4pt;margin-top:27.2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Yi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" stroked="f">
                    <v:textbox style="layout-flow:vertical;mso-layout-flow-alt:bottom-to-top">
                      <w:txbxContent>
                        <w:p w:rsidR="00A45BC2" w:rsidRPr="00A45BC2" w:rsidRDefault="00A45BC2">
                          <w:pPr>
                            <w:rPr>
                              <w:color w:val="0C0000"/>
                              <w:sz w:val="14"/>
                            </w:rPr>
                          </w:pPr>
                          <w:r>
                            <w:rPr>
                              <w:color w:val="0C0000"/>
                              <w:sz w:val="14"/>
                            </w:rPr>
                            <w:t xml:space="preserve">12.05.2023   </w:t>
                          </w:r>
                        </w:p>
                      </w:txbxContent>
                    </v:textbox>
                  </v:shape>
                </w:pict>
              </mc:Fallback>
            </mc:AlternateContent>
          </w:r>
          <w:r w:rsidR="00BC372B" w:rsidRPr="00C6407A">
            <w:rPr>
              <w:rFonts w:eastAsia="Calibri"/>
              <w:b/>
              <w:color w:val="57257D"/>
              <w:sz w:val="22"/>
              <w:szCs w:val="22"/>
              <w:lang w:eastAsia="en-US"/>
            </w:rPr>
            <w:t>«А</w:t>
          </w:r>
          <w:r w:rsidR="00BC372B" w:rsidRPr="00C6407A">
            <w:rPr>
              <w:rFonts w:eastAsia="Calibri"/>
              <w:b/>
              <w:color w:val="57257D"/>
              <w:sz w:val="22"/>
              <w:szCs w:val="22"/>
              <w:lang w:val="kk-KZ" w:eastAsia="en-US"/>
            </w:rPr>
            <w:t>СТАНА ҚАЛАСЫ БОЙЫНША ТЕКСЕРУ КОМИССИЯСЫ</w:t>
          </w:r>
          <w:r w:rsidR="00BC372B" w:rsidRPr="00C6407A">
            <w:rPr>
              <w:rFonts w:eastAsia="Calibri"/>
              <w:b/>
              <w:color w:val="57257D"/>
              <w:sz w:val="22"/>
              <w:szCs w:val="22"/>
              <w:lang w:eastAsia="en-US"/>
            </w:rPr>
            <w:t xml:space="preserve">» </w:t>
          </w:r>
          <w:r w:rsidR="00BC372B" w:rsidRPr="00C6407A">
            <w:rPr>
              <w:rFonts w:eastAsia="Calibri"/>
              <w:b/>
              <w:color w:val="57257D"/>
              <w:sz w:val="22"/>
              <w:szCs w:val="22"/>
              <w:lang w:val="kk-KZ" w:eastAsia="en-US"/>
            </w:rPr>
            <w:t>МЕМЛЕКЕТТІК</w:t>
          </w:r>
        </w:p>
        <w:p w:rsidR="00BC372B" w:rsidRPr="00C6407A" w:rsidRDefault="00BC372B" w:rsidP="00C6407A">
          <w:pPr>
            <w:spacing w:line="312" w:lineRule="auto"/>
            <w:jc w:val="center"/>
            <w:rPr>
              <w:rFonts w:eastAsia="Calibri"/>
              <w:b/>
              <w:color w:val="57257D"/>
              <w:sz w:val="22"/>
              <w:szCs w:val="22"/>
              <w:lang w:val="kk-KZ" w:eastAsia="en-US"/>
            </w:rPr>
          </w:pPr>
          <w:r w:rsidRPr="00C6407A">
            <w:rPr>
              <w:rFonts w:eastAsia="Calibri"/>
              <w:b/>
              <w:color w:val="57257D"/>
              <w:sz w:val="22"/>
              <w:szCs w:val="22"/>
              <w:lang w:val="kk-KZ" w:eastAsia="en-US"/>
            </w:rPr>
            <w:t xml:space="preserve"> МЕКЕМЕСІ</w:t>
          </w:r>
        </w:p>
        <w:p w:rsidR="00BC372B" w:rsidRPr="00C6407A" w:rsidRDefault="00BC372B" w:rsidP="00C6407A">
          <w:pPr>
            <w:spacing w:line="312" w:lineRule="auto"/>
            <w:jc w:val="center"/>
            <w:rPr>
              <w:rFonts w:eastAsia="Calibri"/>
              <w:b/>
              <w:color w:val="57257D"/>
              <w:sz w:val="22"/>
              <w:szCs w:val="22"/>
              <w:lang w:val="kk-KZ" w:eastAsia="en-US"/>
            </w:rPr>
          </w:pPr>
        </w:p>
      </w:tc>
      <w:tc>
        <w:tcPr>
          <w:tcW w:w="2225" w:type="dxa"/>
          <w:tcBorders>
            <w:bottom w:val="single" w:sz="24" w:space="0" w:color="57257D"/>
          </w:tcBorders>
          <w:shd w:val="clear" w:color="auto" w:fill="auto"/>
        </w:tcPr>
        <w:p w:rsidR="00BC372B" w:rsidRPr="00C6407A" w:rsidRDefault="00BC372B" w:rsidP="00C6407A">
          <w:pPr>
            <w:spacing w:line="312" w:lineRule="auto"/>
            <w:jc w:val="center"/>
            <w:rPr>
              <w:rFonts w:ascii="Calibri" w:eastAsia="Calibri" w:hAnsi="Calibri"/>
              <w:color w:val="57257D"/>
              <w:sz w:val="22"/>
              <w:szCs w:val="22"/>
              <w:lang w:val="kk-KZ" w:eastAsia="en-US"/>
            </w:rPr>
          </w:pPr>
        </w:p>
        <w:p w:rsidR="00BC372B" w:rsidRPr="00C6407A" w:rsidRDefault="00BC372B" w:rsidP="00C6407A">
          <w:pPr>
            <w:spacing w:line="312" w:lineRule="auto"/>
            <w:jc w:val="center"/>
            <w:rPr>
              <w:rFonts w:ascii="Calibri" w:eastAsia="Calibri" w:hAnsi="Calibri"/>
              <w:b/>
              <w:color w:val="57257D"/>
              <w:sz w:val="22"/>
              <w:szCs w:val="22"/>
              <w:lang w:val="kk-KZ" w:eastAsia="en-US"/>
            </w:rPr>
          </w:pPr>
          <w:r w:rsidRPr="00C6407A">
            <w:rPr>
              <w:rFonts w:ascii="Calibri" w:eastAsia="Calibri" w:hAnsi="Calibri"/>
              <w:color w:val="57257D"/>
              <w:sz w:val="22"/>
              <w:szCs w:val="22"/>
              <w:lang w:eastAsia="en-US"/>
            </w:rPr>
            <w:object w:dxaOrig="5595" w:dyaOrig="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8.25pt">
                <v:imagedata r:id="rId1" o:title=""/>
              </v:shape>
            </w:object>
          </w:r>
        </w:p>
      </w:tc>
      <w:tc>
        <w:tcPr>
          <w:tcW w:w="3856" w:type="dxa"/>
          <w:tcBorders>
            <w:bottom w:val="single" w:sz="24" w:space="0" w:color="57257D"/>
          </w:tcBorders>
          <w:shd w:val="clear" w:color="auto" w:fill="auto"/>
        </w:tcPr>
        <w:p w:rsidR="00BC372B" w:rsidRPr="00C6407A" w:rsidRDefault="00BC372B" w:rsidP="00C6407A">
          <w:pPr>
            <w:spacing w:line="312" w:lineRule="auto"/>
            <w:jc w:val="center"/>
            <w:rPr>
              <w:rFonts w:ascii="Calibri" w:eastAsia="Calibri" w:hAnsi="Calibri"/>
              <w:b/>
              <w:color w:val="57257D"/>
              <w:sz w:val="22"/>
              <w:szCs w:val="22"/>
              <w:lang w:eastAsia="en-US"/>
            </w:rPr>
          </w:pPr>
        </w:p>
        <w:p w:rsidR="00BC372B" w:rsidRPr="00C6407A" w:rsidRDefault="00BC372B" w:rsidP="00C6407A">
          <w:pPr>
            <w:spacing w:line="312" w:lineRule="auto"/>
            <w:jc w:val="center"/>
            <w:rPr>
              <w:rFonts w:eastAsia="Calibri"/>
              <w:b/>
              <w:color w:val="57257D"/>
              <w:sz w:val="22"/>
              <w:szCs w:val="22"/>
              <w:lang w:eastAsia="en-US"/>
            </w:rPr>
          </w:pPr>
        </w:p>
        <w:p w:rsidR="00BC372B" w:rsidRPr="00C6407A" w:rsidRDefault="00211CF2" w:rsidP="00C6407A">
          <w:pPr>
            <w:spacing w:line="312" w:lineRule="auto"/>
            <w:jc w:val="center"/>
            <w:rPr>
              <w:rFonts w:eastAsia="Calibri"/>
              <w:b/>
              <w:color w:val="57257D"/>
              <w:sz w:val="22"/>
              <w:szCs w:val="22"/>
              <w:lang w:eastAsia="en-US"/>
            </w:rPr>
          </w:pPr>
          <w:r>
            <w:rPr>
              <w:rFonts w:eastAsia="Calibri"/>
              <w:b/>
              <w:noProof/>
              <w:color w:val="57257D"/>
              <w:sz w:val="22"/>
              <w:szCs w:val="22"/>
            </w:rPr>
            <mc:AlternateContent>
              <mc:Choice Requires="wps">
                <w:drawing>
                  <wp:anchor distT="0" distB="0" distL="114300" distR="114300" simplePos="0" relativeHeight="251657216" behindDoc="0" locked="0" layoutInCell="1" allowOverlap="1">
                    <wp:simplePos x="0" y="0"/>
                    <wp:positionH relativeFrom="column">
                      <wp:posOffset>2369820</wp:posOffset>
                    </wp:positionH>
                    <wp:positionV relativeFrom="paragraph">
                      <wp:posOffset>638810</wp:posOffset>
                    </wp:positionV>
                    <wp:extent cx="381000" cy="8018780"/>
                    <wp:effectExtent l="0" t="635"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1F9" w:rsidRPr="00CD71F9" w:rsidRDefault="00CD71F9">
                                <w:pPr>
                                  <w:rPr>
                                    <w:color w:val="0C0000"/>
                                    <w:sz w:val="14"/>
                                  </w:rPr>
                                </w:pPr>
                                <w:r>
                                  <w:rPr>
                                    <w:color w:val="0C0000"/>
                                    <w:sz w:val="14"/>
                                  </w:rPr>
                                  <w:t xml:space="preserve">11.05.2023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86.6pt;margin-top:50.3pt;width:30pt;height:6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" stroked="f">
                    <v:textbox style="layout-flow:vertical;mso-layout-flow-alt:bottom-to-top">
                      <w:txbxContent>
                        <w:p w:rsidR="00CD71F9" w:rsidRPr="00CD71F9" w:rsidRDefault="00CD71F9">
                          <w:pPr>
                            <w:rPr>
                              <w:color w:val="0C0000"/>
                              <w:sz w:val="14"/>
                            </w:rPr>
                          </w:pPr>
                          <w:r>
                            <w:rPr>
                              <w:color w:val="0C0000"/>
                              <w:sz w:val="14"/>
                            </w:rPr>
                            <w:t xml:space="preserve">11.05.2023   </w:t>
                          </w:r>
                        </w:p>
                      </w:txbxContent>
                    </v:textbox>
                  </v:shape>
                </w:pict>
              </mc:Fallback>
            </mc:AlternateContent>
          </w:r>
          <w:r w:rsidR="00BC372B" w:rsidRPr="00C6407A">
            <w:rPr>
              <w:rFonts w:eastAsia="Calibri"/>
              <w:b/>
              <w:color w:val="57257D"/>
              <w:sz w:val="22"/>
              <w:szCs w:val="22"/>
              <w:lang w:eastAsia="en-US"/>
            </w:rPr>
            <w:t>ГОСУДАРСТВЕННОЕ УЧРЕЖДЕНИЕ «РЕВИЗ</w:t>
          </w:r>
          <w:r w:rsidR="00C14084">
            <w:rPr>
              <w:rFonts w:eastAsia="Calibri"/>
              <w:b/>
              <w:color w:val="57257D"/>
              <w:sz w:val="22"/>
              <w:szCs w:val="22"/>
              <w:lang w:eastAsia="en-US"/>
            </w:rPr>
            <w:t>ИОННАЯ КОМИССИЯ ПО ГОРОДУ АСТАНА</w:t>
          </w:r>
          <w:r w:rsidR="00BC372B" w:rsidRPr="00C6407A">
            <w:rPr>
              <w:rFonts w:eastAsia="Calibri"/>
              <w:b/>
              <w:color w:val="57257D"/>
              <w:sz w:val="22"/>
              <w:szCs w:val="22"/>
              <w:lang w:eastAsia="en-US"/>
            </w:rPr>
            <w:t>»</w:t>
          </w:r>
        </w:p>
      </w:tc>
    </w:tr>
    <w:tr w:rsidR="00BC372B" w:rsidRPr="00C6407A" w:rsidTr="00C6407A">
      <w:tc>
        <w:tcPr>
          <w:tcW w:w="4091" w:type="dxa"/>
          <w:tcBorders>
            <w:top w:val="single" w:sz="24" w:space="0" w:color="57257D"/>
          </w:tcBorders>
          <w:shd w:val="clear" w:color="auto" w:fill="auto"/>
        </w:tcPr>
        <w:p w:rsidR="00BC372B" w:rsidRPr="00C6407A" w:rsidRDefault="00BC372B" w:rsidP="00C6407A">
          <w:pPr>
            <w:spacing w:before="120" w:line="312" w:lineRule="auto"/>
            <w:jc w:val="center"/>
            <w:rPr>
              <w:rFonts w:eastAsia="Calibri"/>
              <w:b/>
              <w:color w:val="57257D"/>
              <w:sz w:val="16"/>
              <w:szCs w:val="16"/>
              <w:lang w:val="kk-KZ" w:eastAsia="en-US"/>
            </w:rPr>
          </w:pPr>
          <w:r w:rsidRPr="00C6407A">
            <w:rPr>
              <w:rFonts w:eastAsia="Calibri"/>
              <w:b/>
              <w:color w:val="57257D"/>
              <w:sz w:val="16"/>
              <w:szCs w:val="16"/>
              <w:lang w:eastAsia="en-US"/>
            </w:rPr>
            <w:t xml:space="preserve">010000, Астана </w:t>
          </w:r>
          <w:r w:rsidRPr="00C6407A">
            <w:rPr>
              <w:rFonts w:eastAsia="Calibri"/>
              <w:b/>
              <w:color w:val="57257D"/>
              <w:sz w:val="16"/>
              <w:szCs w:val="16"/>
              <w:lang w:val="kk-KZ" w:eastAsia="en-US"/>
            </w:rPr>
            <w:t>қ., Сарыарқа даңғылы, № 13-үй</w:t>
          </w:r>
        </w:p>
        <w:p w:rsidR="00BC372B" w:rsidRPr="00C6407A" w:rsidRDefault="00BC372B" w:rsidP="00C6407A">
          <w:pPr>
            <w:spacing w:line="312" w:lineRule="auto"/>
            <w:jc w:val="center"/>
            <w:rPr>
              <w:rFonts w:ascii="Calibri" w:eastAsia="Calibri" w:hAnsi="Calibri"/>
              <w:b/>
              <w:color w:val="57257D"/>
              <w:sz w:val="16"/>
              <w:szCs w:val="16"/>
              <w:lang w:val="kk-KZ" w:eastAsia="en-US"/>
            </w:rPr>
          </w:pPr>
          <w:r w:rsidRPr="00C6407A">
            <w:rPr>
              <w:rFonts w:eastAsia="Calibri"/>
              <w:b/>
              <w:color w:val="57257D"/>
              <w:sz w:val="16"/>
              <w:szCs w:val="16"/>
              <w:lang w:val="kk-KZ" w:eastAsia="en-US"/>
            </w:rPr>
            <w:t>Тел.: 72-92-60, факс: 72-92-61</w:t>
          </w:r>
        </w:p>
      </w:tc>
      <w:tc>
        <w:tcPr>
          <w:tcW w:w="2225" w:type="dxa"/>
          <w:tcBorders>
            <w:top w:val="single" w:sz="24" w:space="0" w:color="57257D"/>
          </w:tcBorders>
          <w:shd w:val="clear" w:color="auto" w:fill="auto"/>
        </w:tcPr>
        <w:p w:rsidR="00BC372B" w:rsidRPr="00C6407A" w:rsidRDefault="00BC372B" w:rsidP="00C6407A">
          <w:pPr>
            <w:spacing w:before="120" w:line="312" w:lineRule="auto"/>
            <w:jc w:val="center"/>
            <w:rPr>
              <w:rFonts w:ascii="Calibri" w:eastAsia="Calibri" w:hAnsi="Calibri"/>
              <w:color w:val="57257D"/>
              <w:sz w:val="16"/>
              <w:szCs w:val="16"/>
              <w:lang w:val="kk-KZ" w:eastAsia="en-US"/>
            </w:rPr>
          </w:pPr>
        </w:p>
      </w:tc>
      <w:tc>
        <w:tcPr>
          <w:tcW w:w="3856" w:type="dxa"/>
          <w:tcBorders>
            <w:top w:val="single" w:sz="24" w:space="0" w:color="57257D"/>
          </w:tcBorders>
          <w:shd w:val="clear" w:color="auto" w:fill="auto"/>
        </w:tcPr>
        <w:p w:rsidR="00BC372B" w:rsidRPr="00C6407A" w:rsidRDefault="00BC372B" w:rsidP="00C6407A">
          <w:pPr>
            <w:spacing w:before="120" w:line="312" w:lineRule="auto"/>
            <w:jc w:val="center"/>
            <w:rPr>
              <w:rFonts w:eastAsia="Calibri"/>
              <w:b/>
              <w:color w:val="57257D"/>
              <w:sz w:val="16"/>
              <w:szCs w:val="16"/>
              <w:lang w:val="kk-KZ" w:eastAsia="en-US"/>
            </w:rPr>
          </w:pPr>
          <w:r w:rsidRPr="00C6407A">
            <w:rPr>
              <w:rFonts w:eastAsia="Calibri"/>
              <w:b/>
              <w:color w:val="57257D"/>
              <w:sz w:val="16"/>
              <w:szCs w:val="16"/>
              <w:lang w:val="kk-KZ" w:eastAsia="en-US"/>
            </w:rPr>
            <w:t>010000</w:t>
          </w:r>
          <w:r w:rsidRPr="00C6407A">
            <w:rPr>
              <w:rFonts w:eastAsia="Calibri"/>
              <w:b/>
              <w:color w:val="57257D"/>
              <w:sz w:val="16"/>
              <w:szCs w:val="16"/>
              <w:lang w:eastAsia="en-US"/>
            </w:rPr>
            <w:t xml:space="preserve">, г. Астана, </w:t>
          </w:r>
          <w:r w:rsidRPr="00C6407A">
            <w:rPr>
              <w:rFonts w:eastAsia="Calibri"/>
              <w:b/>
              <w:color w:val="57257D"/>
              <w:sz w:val="16"/>
              <w:szCs w:val="16"/>
              <w:lang w:val="kk-KZ" w:eastAsia="en-US"/>
            </w:rPr>
            <w:t>проспект Сарыарка, № 13</w:t>
          </w:r>
        </w:p>
        <w:p w:rsidR="00BC372B" w:rsidRPr="00C6407A" w:rsidRDefault="00BC372B" w:rsidP="00C6407A">
          <w:pPr>
            <w:spacing w:line="312" w:lineRule="auto"/>
            <w:jc w:val="center"/>
            <w:rPr>
              <w:rFonts w:eastAsia="Calibri"/>
              <w:b/>
              <w:color w:val="57257D"/>
              <w:sz w:val="16"/>
              <w:szCs w:val="16"/>
              <w:lang w:val="kk-KZ" w:eastAsia="en-US"/>
            </w:rPr>
          </w:pPr>
          <w:r w:rsidRPr="00C6407A">
            <w:rPr>
              <w:rFonts w:eastAsia="Calibri"/>
              <w:b/>
              <w:color w:val="57257D"/>
              <w:sz w:val="16"/>
              <w:szCs w:val="16"/>
              <w:lang w:eastAsia="en-US"/>
            </w:rPr>
            <w:t xml:space="preserve">Тел.: </w:t>
          </w:r>
          <w:r w:rsidRPr="00C6407A">
            <w:rPr>
              <w:rFonts w:eastAsia="Calibri"/>
              <w:b/>
              <w:color w:val="57257D"/>
              <w:sz w:val="16"/>
              <w:szCs w:val="16"/>
              <w:lang w:val="kk-KZ" w:eastAsia="en-US"/>
            </w:rPr>
            <w:t>72-92-60, факс: 72-92-61</w:t>
          </w:r>
        </w:p>
      </w:tc>
    </w:tr>
    <w:tr w:rsidR="00BC372B" w:rsidRPr="00C6407A" w:rsidTr="00C6407A">
      <w:tc>
        <w:tcPr>
          <w:tcW w:w="4091" w:type="dxa"/>
          <w:shd w:val="clear" w:color="auto" w:fill="auto"/>
        </w:tcPr>
        <w:p w:rsidR="00BC372B" w:rsidRPr="00C6407A" w:rsidRDefault="00BC372B" w:rsidP="00C6407A">
          <w:pPr>
            <w:spacing w:line="312" w:lineRule="auto"/>
            <w:jc w:val="center"/>
            <w:rPr>
              <w:rFonts w:ascii="Calibri" w:eastAsia="Calibri" w:hAnsi="Calibri"/>
              <w:b/>
              <w:color w:val="57257D"/>
              <w:sz w:val="16"/>
              <w:szCs w:val="16"/>
              <w:lang w:eastAsia="en-US"/>
            </w:rPr>
          </w:pPr>
        </w:p>
        <w:p w:rsidR="00BC372B" w:rsidRPr="00C6407A" w:rsidRDefault="00BC372B" w:rsidP="00C6407A">
          <w:pPr>
            <w:spacing w:line="312" w:lineRule="auto"/>
            <w:rPr>
              <w:rFonts w:ascii="Calibri" w:eastAsia="Calibri" w:hAnsi="Calibri"/>
              <w:b/>
              <w:color w:val="57257D"/>
              <w:sz w:val="16"/>
              <w:szCs w:val="16"/>
              <w:lang w:eastAsia="en-US"/>
            </w:rPr>
          </w:pPr>
          <w:r w:rsidRPr="00C6407A">
            <w:rPr>
              <w:rFonts w:ascii="Calibri" w:eastAsia="Calibri" w:hAnsi="Calibri"/>
              <w:b/>
              <w:color w:val="57257D"/>
              <w:sz w:val="16"/>
              <w:szCs w:val="16"/>
              <w:lang w:val="en-US" w:eastAsia="en-US"/>
            </w:rPr>
            <w:t>_____________________</w:t>
          </w:r>
          <w:r w:rsidRPr="00C6407A">
            <w:rPr>
              <w:rFonts w:ascii="Calibri" w:eastAsia="Calibri" w:hAnsi="Calibri"/>
              <w:b/>
              <w:color w:val="57257D"/>
              <w:sz w:val="16"/>
              <w:szCs w:val="16"/>
              <w:lang w:eastAsia="en-US"/>
            </w:rPr>
            <w:t>№_______________________</w:t>
          </w:r>
        </w:p>
        <w:p w:rsidR="00BC372B" w:rsidRPr="00C6407A" w:rsidRDefault="00BC372B" w:rsidP="00C6407A">
          <w:pPr>
            <w:spacing w:line="312" w:lineRule="auto"/>
            <w:rPr>
              <w:rFonts w:ascii="Calibri" w:eastAsia="Calibri" w:hAnsi="Calibri"/>
              <w:b/>
              <w:color w:val="57257D"/>
              <w:sz w:val="16"/>
              <w:szCs w:val="16"/>
              <w:lang w:eastAsia="en-US"/>
            </w:rPr>
          </w:pPr>
          <w:r w:rsidRPr="00C6407A">
            <w:rPr>
              <w:rFonts w:ascii="Calibri" w:eastAsia="Calibri" w:hAnsi="Calibri"/>
              <w:b/>
              <w:color w:val="57257D"/>
              <w:sz w:val="16"/>
              <w:szCs w:val="16"/>
              <w:lang w:eastAsia="en-US"/>
            </w:rPr>
            <w:t>______________________________________________</w:t>
          </w:r>
        </w:p>
      </w:tc>
      <w:tc>
        <w:tcPr>
          <w:tcW w:w="2225" w:type="dxa"/>
          <w:shd w:val="clear" w:color="auto" w:fill="auto"/>
        </w:tcPr>
        <w:p w:rsidR="00BC372B" w:rsidRPr="00C6407A" w:rsidRDefault="00BC372B" w:rsidP="00C6407A">
          <w:pPr>
            <w:spacing w:before="120" w:line="312" w:lineRule="auto"/>
            <w:jc w:val="center"/>
            <w:rPr>
              <w:rFonts w:ascii="Calibri" w:eastAsia="Calibri" w:hAnsi="Calibri"/>
              <w:color w:val="57257D"/>
              <w:sz w:val="16"/>
              <w:szCs w:val="16"/>
              <w:lang w:val="kk-KZ" w:eastAsia="en-US"/>
            </w:rPr>
          </w:pPr>
        </w:p>
      </w:tc>
      <w:tc>
        <w:tcPr>
          <w:tcW w:w="3856" w:type="dxa"/>
          <w:shd w:val="clear" w:color="auto" w:fill="auto"/>
        </w:tcPr>
        <w:p w:rsidR="00BC372B" w:rsidRPr="00C6407A" w:rsidRDefault="00BC372B" w:rsidP="00C6407A">
          <w:pPr>
            <w:spacing w:before="120" w:line="312" w:lineRule="auto"/>
            <w:jc w:val="center"/>
            <w:rPr>
              <w:rFonts w:ascii="Calibri" w:eastAsia="Calibri" w:hAnsi="Calibri"/>
              <w:b/>
              <w:color w:val="57257D"/>
              <w:sz w:val="16"/>
              <w:szCs w:val="16"/>
              <w:lang w:val="kk-KZ" w:eastAsia="en-US"/>
            </w:rPr>
          </w:pPr>
        </w:p>
      </w:tc>
    </w:tr>
  </w:tbl>
  <w:p w:rsidR="00BC372B" w:rsidRPr="00BC372B" w:rsidRDefault="00BC372B" w:rsidP="00BC372B">
    <w:pPr>
      <w:spacing w:line="276" w:lineRule="auto"/>
      <w:jc w:val="both"/>
      <w:rPr>
        <w:rFonts w:eastAsia="Calibri"/>
        <w:sz w:val="28"/>
        <w:szCs w:val="22"/>
        <w:lang w:val="en-US" w:eastAsia="en-US"/>
      </w:rPr>
    </w:pPr>
  </w:p>
  <w:p w:rsidR="001714B6" w:rsidRPr="00BC372B" w:rsidRDefault="001714B6" w:rsidP="00BC37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10"/>
    <w:rsid w:val="00017524"/>
    <w:rsid w:val="000256C2"/>
    <w:rsid w:val="000E4338"/>
    <w:rsid w:val="000E5007"/>
    <w:rsid w:val="000F6F69"/>
    <w:rsid w:val="001418AA"/>
    <w:rsid w:val="00153138"/>
    <w:rsid w:val="00164471"/>
    <w:rsid w:val="001714B6"/>
    <w:rsid w:val="001A04A3"/>
    <w:rsid w:val="001C5995"/>
    <w:rsid w:val="00211CF2"/>
    <w:rsid w:val="002534D0"/>
    <w:rsid w:val="00273F1F"/>
    <w:rsid w:val="002A5B34"/>
    <w:rsid w:val="002C23D8"/>
    <w:rsid w:val="002D29D6"/>
    <w:rsid w:val="00300995"/>
    <w:rsid w:val="0032753B"/>
    <w:rsid w:val="00335D3F"/>
    <w:rsid w:val="0034127A"/>
    <w:rsid w:val="003471FA"/>
    <w:rsid w:val="00385A96"/>
    <w:rsid w:val="003E5477"/>
    <w:rsid w:val="004017A3"/>
    <w:rsid w:val="00431876"/>
    <w:rsid w:val="004D16D4"/>
    <w:rsid w:val="004E4F02"/>
    <w:rsid w:val="005307ED"/>
    <w:rsid w:val="0054724B"/>
    <w:rsid w:val="00554B41"/>
    <w:rsid w:val="005A1FA7"/>
    <w:rsid w:val="005F0DF1"/>
    <w:rsid w:val="00642A04"/>
    <w:rsid w:val="00666884"/>
    <w:rsid w:val="00674F50"/>
    <w:rsid w:val="006960F7"/>
    <w:rsid w:val="006A3710"/>
    <w:rsid w:val="007A7F4D"/>
    <w:rsid w:val="007C0B1E"/>
    <w:rsid w:val="007C0F9A"/>
    <w:rsid w:val="007D6737"/>
    <w:rsid w:val="00822F79"/>
    <w:rsid w:val="00854549"/>
    <w:rsid w:val="00857608"/>
    <w:rsid w:val="008C412E"/>
    <w:rsid w:val="00917515"/>
    <w:rsid w:val="0092038D"/>
    <w:rsid w:val="009F1091"/>
    <w:rsid w:val="00A1245F"/>
    <w:rsid w:val="00A34B8C"/>
    <w:rsid w:val="00A45BC2"/>
    <w:rsid w:val="00B34C4F"/>
    <w:rsid w:val="00B4173C"/>
    <w:rsid w:val="00B70EFB"/>
    <w:rsid w:val="00B83C1E"/>
    <w:rsid w:val="00BB311C"/>
    <w:rsid w:val="00BC372B"/>
    <w:rsid w:val="00BF36E4"/>
    <w:rsid w:val="00C14084"/>
    <w:rsid w:val="00C1691F"/>
    <w:rsid w:val="00C17F08"/>
    <w:rsid w:val="00C25E71"/>
    <w:rsid w:val="00C357E2"/>
    <w:rsid w:val="00C52F5A"/>
    <w:rsid w:val="00C6407A"/>
    <w:rsid w:val="00C864C3"/>
    <w:rsid w:val="00CB257B"/>
    <w:rsid w:val="00CD71F9"/>
    <w:rsid w:val="00CE08CF"/>
    <w:rsid w:val="00D011A0"/>
    <w:rsid w:val="00D5050D"/>
    <w:rsid w:val="00D919E0"/>
    <w:rsid w:val="00DA1ECA"/>
    <w:rsid w:val="00DF4ABD"/>
    <w:rsid w:val="00E44E76"/>
    <w:rsid w:val="00EF52E6"/>
    <w:rsid w:val="00F43653"/>
    <w:rsid w:val="00F52641"/>
    <w:rsid w:val="00F660A3"/>
    <w:rsid w:val="00F6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link w:val="a3"/>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uiPriority w:val="99"/>
    <w:pPr>
      <w:tabs>
        <w:tab w:val="center" w:pos="4677"/>
        <w:tab w:val="right" w:pos="9355"/>
      </w:tabs>
    </w:pPr>
    <w:rPr>
      <w:lang w:val="x-none" w:eastAsia="x-none"/>
    </w:rPr>
  </w:style>
  <w:style w:type="character" w:customStyle="1" w:styleId="a7">
    <w:name w:val="Нижний колонтитул Знак"/>
    <w:link w:val="a6"/>
    <w:uiPriority w:val="99"/>
    <w:rPr>
      <w:sz w:val="24"/>
      <w:szCs w:val="24"/>
    </w:rPr>
  </w:style>
  <w:style w:type="character" w:styleId="a8">
    <w:name w:val="Hyperlink"/>
    <w:rPr>
      <w:color w:val="0000FF"/>
      <w:u w:val="single"/>
    </w:rPr>
  </w:style>
  <w:style w:type="character" w:styleId="a9">
    <w:name w:val="Strong"/>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 Знак Знак Знак"/>
    <w:basedOn w:val="a"/>
    <w:autoRedefine/>
    <w:rsid w:val="00300995"/>
    <w:pPr>
      <w:spacing w:after="160" w:line="240" w:lineRule="exact"/>
    </w:pPr>
    <w:rPr>
      <w:rFonts w:eastAsia="SimSun"/>
      <w:b/>
      <w:sz w:val="28"/>
      <w:lang w:val="en-US" w:eastAsia="en-US"/>
    </w:rPr>
  </w:style>
  <w:style w:type="table" w:styleId="ac">
    <w:name w:val="Table Grid"/>
    <w:basedOn w:val="a1"/>
    <w:uiPriority w:val="59"/>
    <w:rsid w:val="00BC37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e"/>
    <w:uiPriority w:val="99"/>
    <w:locked/>
    <w:rsid w:val="00C17F08"/>
    <w:rPr>
      <w:sz w:val="24"/>
      <w:szCs w:val="24"/>
    </w:rPr>
  </w:style>
  <w:style w:type="paragraph" w:styleId="ae">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
    <w:basedOn w:val="a"/>
    <w:link w:val="ad"/>
    <w:uiPriority w:val="99"/>
    <w:unhideWhenUsed/>
    <w:qFormat/>
    <w:rsid w:val="00C17F08"/>
    <w:pPr>
      <w:spacing w:before="100" w:beforeAutospacing="1" w:after="100" w:afterAutospacing="1"/>
    </w:pPr>
  </w:style>
  <w:style w:type="paragraph" w:styleId="af">
    <w:name w:val="List Paragraph"/>
    <w:aliases w:val="N_List Paragraph,AC List 01,Bullet Number,Bullet List,FooterText,numbered,corp de texte,маркированный,Heading1,Colorful List - Accent 11,Citation List,Table Heading,Bullets,List Paragraph (numbered (a)),List Paragraph1,Resume Title"/>
    <w:basedOn w:val="a"/>
    <w:link w:val="af0"/>
    <w:uiPriority w:val="34"/>
    <w:qFormat/>
    <w:rsid w:val="00C17F08"/>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aliases w:val="N_List Paragraph Знак,AC List 01 Знак,Bullet Number Знак,Bullet List Знак,FooterText Знак,numbered Знак,corp de texte Знак,маркированный Знак,Heading1 Знак,Colorful List - Accent 11 Знак,Citation List Знак,Table Heading Знак"/>
    <w:link w:val="af"/>
    <w:uiPriority w:val="34"/>
    <w:locked/>
    <w:rsid w:val="00C17F0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link w:val="a3"/>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uiPriority w:val="99"/>
    <w:pPr>
      <w:tabs>
        <w:tab w:val="center" w:pos="4677"/>
        <w:tab w:val="right" w:pos="9355"/>
      </w:tabs>
    </w:pPr>
    <w:rPr>
      <w:lang w:val="x-none" w:eastAsia="x-none"/>
    </w:rPr>
  </w:style>
  <w:style w:type="character" w:customStyle="1" w:styleId="a7">
    <w:name w:val="Нижний колонтитул Знак"/>
    <w:link w:val="a6"/>
    <w:uiPriority w:val="99"/>
    <w:rPr>
      <w:sz w:val="24"/>
      <w:szCs w:val="24"/>
    </w:rPr>
  </w:style>
  <w:style w:type="character" w:styleId="a8">
    <w:name w:val="Hyperlink"/>
    <w:rPr>
      <w:color w:val="0000FF"/>
      <w:u w:val="single"/>
    </w:rPr>
  </w:style>
  <w:style w:type="character" w:styleId="a9">
    <w:name w:val="Strong"/>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 Знак Знак Знак"/>
    <w:basedOn w:val="a"/>
    <w:autoRedefine/>
    <w:rsid w:val="00300995"/>
    <w:pPr>
      <w:spacing w:after="160" w:line="240" w:lineRule="exact"/>
    </w:pPr>
    <w:rPr>
      <w:rFonts w:eastAsia="SimSun"/>
      <w:b/>
      <w:sz w:val="28"/>
      <w:lang w:val="en-US" w:eastAsia="en-US"/>
    </w:rPr>
  </w:style>
  <w:style w:type="table" w:styleId="ac">
    <w:name w:val="Table Grid"/>
    <w:basedOn w:val="a1"/>
    <w:uiPriority w:val="59"/>
    <w:rsid w:val="00BC37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e"/>
    <w:uiPriority w:val="99"/>
    <w:locked/>
    <w:rsid w:val="00C17F08"/>
    <w:rPr>
      <w:sz w:val="24"/>
      <w:szCs w:val="24"/>
    </w:rPr>
  </w:style>
  <w:style w:type="paragraph" w:styleId="ae">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
    <w:basedOn w:val="a"/>
    <w:link w:val="ad"/>
    <w:uiPriority w:val="99"/>
    <w:unhideWhenUsed/>
    <w:qFormat/>
    <w:rsid w:val="00C17F08"/>
    <w:pPr>
      <w:spacing w:before="100" w:beforeAutospacing="1" w:after="100" w:afterAutospacing="1"/>
    </w:pPr>
  </w:style>
  <w:style w:type="paragraph" w:styleId="af">
    <w:name w:val="List Paragraph"/>
    <w:aliases w:val="N_List Paragraph,AC List 01,Bullet Number,Bullet List,FooterText,numbered,corp de texte,маркированный,Heading1,Colorful List - Accent 11,Citation List,Table Heading,Bullets,List Paragraph (numbered (a)),List Paragraph1,Resume Title"/>
    <w:basedOn w:val="a"/>
    <w:link w:val="af0"/>
    <w:uiPriority w:val="34"/>
    <w:qFormat/>
    <w:rsid w:val="00C17F08"/>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aliases w:val="N_List Paragraph Знак,AC List 01 Знак,Bullet Number Знак,Bullet List Знак,FooterText Знак,numbered Знак,corp de texte Знак,маркированный Знак,Heading1 Знак,Colorful List - Accent 11 Знак,Citation List Знак,Table Heading Знак"/>
    <w:link w:val="af"/>
    <w:uiPriority w:val="34"/>
    <w:locked/>
    <w:rsid w:val="00C17F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g.abelkasimova</cp:lastModifiedBy>
  <cp:revision>2</cp:revision>
  <cp:lastPrinted>2012-04-04T05:01:00Z</cp:lastPrinted>
  <dcterms:created xsi:type="dcterms:W3CDTF">2023-05-18T03:18:00Z</dcterms:created>
  <dcterms:modified xsi:type="dcterms:W3CDTF">2023-05-18T03:18:00Z</dcterms:modified>
</cp:coreProperties>
</file>