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қаржы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қаржы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Штат саны 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4 мемлекеттік қызметші </w:t>
      </w:r>
      <w:r w:rsidR="00EE0006" w:rsidRPr="00EE00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D22FC8" w:rsidRPr="009D0489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EE0006" w:rsidRPr="00EE0006">
        <w:rPr>
          <w:rFonts w:ascii="Times New Roman" w:hAnsi="Times New Roman" w:cs="Times New Roman"/>
          <w:b/>
          <w:sz w:val="32"/>
          <w:szCs w:val="32"/>
          <w:lang w:val="kk-KZ"/>
        </w:rPr>
        <w:t>81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>39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001 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>Ауданның (облыстық маңызы бар қаланың</w:t>
      </w:r>
      <w:r w:rsidR="001019D6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бюджетін орындау және 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>коммуналдық меншігін басқару саласындағы мемлекеттік саясатты іске асыру жөніндегі қызметтер</w:t>
      </w:r>
      <w:r w:rsidR="001019D6">
        <w:rPr>
          <w:rFonts w:ascii="Times New Roman" w:hAnsi="Times New Roman" w:cs="Times New Roman"/>
          <w:b/>
          <w:sz w:val="32"/>
          <w:szCs w:val="32"/>
          <w:lang w:val="kk-KZ"/>
        </w:rPr>
        <w:t>ге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- 1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81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39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Негізгі бағыты шығындарды бағдарлама болып табылады қызметкерлерге еңбекақы төлеу шығыстары мемлекеттік органның, коммуналдық қызметтерді төлеуге, сатып алуға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жанар жағармай,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қызметтік көлікті, байланысты өндірістік және қызметтік қажеттілікке жүргізілген шығыстар технологиялық сүйемелдеу, негізгі құралдарды жөндеу.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81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39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A35A06"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Сектор меңгерушісі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101100"/>
    <w:rsid w:val="001019D6"/>
    <w:rsid w:val="004067D8"/>
    <w:rsid w:val="004E49DE"/>
    <w:rsid w:val="0063342F"/>
    <w:rsid w:val="00653AFB"/>
    <w:rsid w:val="00667CFC"/>
    <w:rsid w:val="006D55B7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C007E9"/>
    <w:rsid w:val="00C125FA"/>
    <w:rsid w:val="00D22115"/>
    <w:rsid w:val="00D22FC8"/>
    <w:rsid w:val="00D239DC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2021-03-10T11:52:00Z</cp:lastPrinted>
  <dcterms:created xsi:type="dcterms:W3CDTF">2020-02-28T14:05:00Z</dcterms:created>
  <dcterms:modified xsi:type="dcterms:W3CDTF">2021-03-15T10:07:00Z</dcterms:modified>
</cp:coreProperties>
</file>