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E7F78" w14:textId="77777777" w:rsidR="005634CD" w:rsidRPr="000B227F" w:rsidRDefault="005634CD" w:rsidP="005634CD">
      <w:pPr>
        <w:widowControl w:val="0"/>
        <w:spacing w:after="0" w:line="240" w:lineRule="auto"/>
        <w:jc w:val="center"/>
        <w:rPr>
          <w:rFonts w:ascii="Times New Roman" w:eastAsia="Times New Roman" w:hAnsi="Times New Roman" w:cs="Times New Roman"/>
          <w:b/>
          <w:bCs/>
          <w:sz w:val="24"/>
          <w:szCs w:val="24"/>
        </w:rPr>
      </w:pPr>
      <w:r w:rsidRPr="000B227F">
        <w:rPr>
          <w:rFonts w:ascii="Times New Roman" w:eastAsia="Times New Roman" w:hAnsi="Times New Roman" w:cs="Times New Roman"/>
          <w:b/>
          <w:bCs/>
          <w:sz w:val="24"/>
          <w:szCs w:val="24"/>
        </w:rPr>
        <w:t>Отчет о реализации Стратегического плана</w:t>
      </w:r>
    </w:p>
    <w:p w14:paraId="68DCFD4D" w14:textId="77777777" w:rsidR="005634CD" w:rsidRPr="000B227F" w:rsidRDefault="005634CD" w:rsidP="005634CD">
      <w:pPr>
        <w:widowControl w:val="0"/>
        <w:spacing w:after="0" w:line="240" w:lineRule="auto"/>
        <w:jc w:val="center"/>
        <w:rPr>
          <w:rFonts w:ascii="Times New Roman" w:eastAsia="Times New Roman" w:hAnsi="Times New Roman" w:cs="Times New Roman"/>
          <w:b/>
          <w:bCs/>
          <w:sz w:val="24"/>
          <w:szCs w:val="24"/>
        </w:rPr>
      </w:pPr>
      <w:r w:rsidRPr="000B227F">
        <w:rPr>
          <w:rFonts w:ascii="Times New Roman" w:eastAsia="Times New Roman" w:hAnsi="Times New Roman" w:cs="Times New Roman"/>
          <w:b/>
          <w:bCs/>
          <w:sz w:val="24"/>
          <w:szCs w:val="24"/>
        </w:rPr>
        <w:t>Агентства Республики Казахстан по регулированию и развитию финансового рынка на 2020-2024 годы,</w:t>
      </w:r>
    </w:p>
    <w:p w14:paraId="00EE6398" w14:textId="77777777" w:rsidR="006E4C61" w:rsidRPr="000B227F" w:rsidRDefault="005634CD" w:rsidP="005634CD">
      <w:pPr>
        <w:widowControl w:val="0"/>
        <w:spacing w:after="0" w:line="240" w:lineRule="auto"/>
        <w:jc w:val="center"/>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 xml:space="preserve">утвержденного приказом </w:t>
      </w:r>
      <w:r w:rsidR="003101F2" w:rsidRPr="000B227F">
        <w:rPr>
          <w:rFonts w:ascii="Times New Roman" w:eastAsia="Times New Roman" w:hAnsi="Times New Roman" w:cs="Times New Roman"/>
          <w:bCs/>
          <w:sz w:val="24"/>
          <w:szCs w:val="24"/>
        </w:rPr>
        <w:t>Председателя Агентства Республики Казахстан по регулированию и развитию финансового рынка</w:t>
      </w:r>
    </w:p>
    <w:p w14:paraId="546F71EB" w14:textId="77777777" w:rsidR="005634CD" w:rsidRPr="000B227F" w:rsidRDefault="003101F2" w:rsidP="005634CD">
      <w:pPr>
        <w:widowControl w:val="0"/>
        <w:spacing w:after="0" w:line="240" w:lineRule="auto"/>
        <w:jc w:val="center"/>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 xml:space="preserve"> </w:t>
      </w:r>
      <w:r w:rsidR="005634CD" w:rsidRPr="000B227F">
        <w:rPr>
          <w:rFonts w:ascii="Times New Roman" w:eastAsia="Times New Roman" w:hAnsi="Times New Roman" w:cs="Times New Roman"/>
          <w:bCs/>
          <w:sz w:val="24"/>
          <w:szCs w:val="24"/>
        </w:rPr>
        <w:t>от 28 февраля 2020 года № 148</w:t>
      </w:r>
    </w:p>
    <w:p w14:paraId="52722AF3" w14:textId="77777777" w:rsidR="003E7355" w:rsidRPr="000B227F" w:rsidRDefault="003E7355" w:rsidP="005634CD">
      <w:pPr>
        <w:widowControl w:val="0"/>
        <w:spacing w:after="0" w:line="240" w:lineRule="auto"/>
        <w:jc w:val="center"/>
        <w:rPr>
          <w:rFonts w:ascii="Times New Roman" w:eastAsia="Times New Roman" w:hAnsi="Times New Roman" w:cs="Times New Roman"/>
          <w:bCs/>
          <w:sz w:val="24"/>
          <w:szCs w:val="24"/>
          <w:u w:val="single"/>
        </w:rPr>
      </w:pPr>
    </w:p>
    <w:p w14:paraId="00E684C6" w14:textId="77777777" w:rsidR="005634CD" w:rsidRPr="000B227F" w:rsidRDefault="005634CD" w:rsidP="005634CD">
      <w:pPr>
        <w:widowControl w:val="0"/>
        <w:spacing w:after="0" w:line="240" w:lineRule="auto"/>
        <w:jc w:val="center"/>
        <w:rPr>
          <w:rFonts w:ascii="Times New Roman" w:eastAsia="Times New Roman" w:hAnsi="Times New Roman" w:cs="Times New Roman"/>
          <w:bCs/>
          <w:sz w:val="24"/>
          <w:szCs w:val="24"/>
          <w:u w:val="single"/>
        </w:rPr>
      </w:pPr>
      <w:r w:rsidRPr="000B227F">
        <w:rPr>
          <w:rFonts w:ascii="Times New Roman" w:eastAsia="Times New Roman" w:hAnsi="Times New Roman" w:cs="Times New Roman"/>
          <w:bCs/>
          <w:sz w:val="24"/>
          <w:szCs w:val="24"/>
          <w:u w:val="single"/>
        </w:rPr>
        <w:t xml:space="preserve">Период отчета: </w:t>
      </w:r>
      <w:r w:rsidRPr="000B227F">
        <w:rPr>
          <w:rFonts w:ascii="Times New Roman" w:eastAsia="Times New Roman" w:hAnsi="Times New Roman" w:cs="Times New Roman"/>
          <w:b/>
          <w:bCs/>
          <w:sz w:val="24"/>
          <w:szCs w:val="24"/>
          <w:u w:val="single"/>
        </w:rPr>
        <w:t>2020 год</w:t>
      </w:r>
    </w:p>
    <w:p w14:paraId="268040E6" w14:textId="77777777" w:rsidR="005634CD" w:rsidRPr="000B227F" w:rsidRDefault="005634CD" w:rsidP="005634CD">
      <w:pPr>
        <w:widowControl w:val="0"/>
        <w:spacing w:after="0" w:line="240" w:lineRule="auto"/>
        <w:jc w:val="center"/>
        <w:rPr>
          <w:rFonts w:ascii="Times New Roman" w:eastAsia="Times New Roman" w:hAnsi="Times New Roman" w:cs="Times New Roman"/>
          <w:bCs/>
          <w:sz w:val="24"/>
          <w:szCs w:val="24"/>
        </w:rPr>
      </w:pPr>
    </w:p>
    <w:p w14:paraId="21468E66" w14:textId="77777777" w:rsidR="005634CD" w:rsidRPr="000B227F" w:rsidRDefault="00FB37CE" w:rsidP="005813D2">
      <w:pPr>
        <w:pStyle w:val="a8"/>
        <w:widowControl w:val="0"/>
        <w:numPr>
          <w:ilvl w:val="0"/>
          <w:numId w:val="11"/>
        </w:numPr>
        <w:tabs>
          <w:tab w:val="left" w:pos="993"/>
        </w:tabs>
        <w:ind w:left="0" w:firstLine="709"/>
        <w:rPr>
          <w:rFonts w:ascii="Times New Roman" w:hAnsi="Times New Roman"/>
          <w:b/>
          <w:sz w:val="24"/>
          <w:szCs w:val="24"/>
        </w:rPr>
      </w:pPr>
      <w:r w:rsidRPr="000B227F">
        <w:rPr>
          <w:rFonts w:ascii="Times New Roman" w:hAnsi="Times New Roman"/>
          <w:b/>
          <w:sz w:val="24"/>
          <w:szCs w:val="24"/>
        </w:rPr>
        <w:t>АНАЛИЗ УПРАВЛЕНИЯ РИСКАМИ</w:t>
      </w:r>
    </w:p>
    <w:p w14:paraId="2AD1B20A" w14:textId="77777777" w:rsidR="006E4C61" w:rsidRPr="000B227F" w:rsidRDefault="006E4C61" w:rsidP="006E4C61">
      <w:pPr>
        <w:pStyle w:val="a8"/>
        <w:widowControl w:val="0"/>
        <w:ind w:left="502"/>
        <w:rPr>
          <w:rFonts w:ascii="Times New Roman" w:hAnsi="Times New Roman"/>
          <w:b/>
          <w:sz w:val="24"/>
          <w:szCs w:val="24"/>
        </w:rPr>
      </w:pPr>
    </w:p>
    <w:tbl>
      <w:tblPr>
        <w:tblW w:w="151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1"/>
        <w:gridCol w:w="3686"/>
        <w:gridCol w:w="2126"/>
      </w:tblGrid>
      <w:tr w:rsidR="00121C7D" w:rsidRPr="000B227F" w14:paraId="1D48490C" w14:textId="77777777" w:rsidTr="00724B07">
        <w:trPr>
          <w:trHeight w:val="30"/>
          <w:tblHeader/>
        </w:trPr>
        <w:tc>
          <w:tcPr>
            <w:tcW w:w="4423" w:type="dxa"/>
            <w:tcBorders>
              <w:top w:val="single" w:sz="4" w:space="0" w:color="auto"/>
              <w:left w:val="single" w:sz="4" w:space="0" w:color="auto"/>
              <w:bottom w:val="single" w:sz="4" w:space="0" w:color="auto"/>
              <w:right w:val="single" w:sz="4" w:space="0" w:color="auto"/>
            </w:tcBorders>
            <w:hideMark/>
          </w:tcPr>
          <w:p w14:paraId="49A7F6B2" w14:textId="77777777" w:rsidR="00261525" w:rsidRPr="000B227F" w:rsidRDefault="00261525">
            <w:pPr>
              <w:spacing w:after="0" w:line="240" w:lineRule="auto"/>
              <w:ind w:left="23"/>
              <w:jc w:val="center"/>
              <w:rPr>
                <w:rFonts w:ascii="Times New Roman" w:hAnsi="Times New Roman" w:cs="Times New Roman"/>
                <w:b/>
                <w:sz w:val="24"/>
                <w:szCs w:val="24"/>
                <w:lang w:val="en-US"/>
              </w:rPr>
            </w:pPr>
            <w:r w:rsidRPr="000B227F">
              <w:rPr>
                <w:rFonts w:ascii="Times New Roman" w:hAnsi="Times New Roman" w:cs="Times New Roman"/>
                <w:b/>
                <w:sz w:val="24"/>
                <w:szCs w:val="24"/>
              </w:rPr>
              <w:t>Наименование возможного риска</w:t>
            </w:r>
          </w:p>
        </w:tc>
        <w:tc>
          <w:tcPr>
            <w:tcW w:w="4961" w:type="dxa"/>
            <w:tcBorders>
              <w:top w:val="single" w:sz="4" w:space="0" w:color="auto"/>
              <w:left w:val="single" w:sz="4" w:space="0" w:color="auto"/>
              <w:bottom w:val="single" w:sz="4" w:space="0" w:color="auto"/>
              <w:right w:val="single" w:sz="4" w:space="0" w:color="auto"/>
            </w:tcBorders>
            <w:hideMark/>
          </w:tcPr>
          <w:p w14:paraId="4BAFF0AE" w14:textId="77777777" w:rsidR="00261525" w:rsidRPr="000B227F" w:rsidRDefault="00261525">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Запланированные мероприятия по управлению рисками</w:t>
            </w:r>
          </w:p>
        </w:tc>
        <w:tc>
          <w:tcPr>
            <w:tcW w:w="3686" w:type="dxa"/>
            <w:tcBorders>
              <w:top w:val="single" w:sz="4" w:space="0" w:color="auto"/>
              <w:left w:val="single" w:sz="4" w:space="0" w:color="auto"/>
              <w:bottom w:val="single" w:sz="4" w:space="0" w:color="auto"/>
              <w:right w:val="single" w:sz="4" w:space="0" w:color="auto"/>
            </w:tcBorders>
            <w:hideMark/>
          </w:tcPr>
          <w:p w14:paraId="37B1157C" w14:textId="77777777" w:rsidR="00261525" w:rsidRPr="000B227F" w:rsidRDefault="00261525">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 xml:space="preserve">Фактическое исполнение мероприятий </w:t>
            </w:r>
          </w:p>
          <w:p w14:paraId="1F91FA75" w14:textId="77777777" w:rsidR="00261525" w:rsidRPr="000B227F" w:rsidRDefault="00261525" w:rsidP="00AB547F">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по управлению рисками</w:t>
            </w:r>
          </w:p>
        </w:tc>
        <w:tc>
          <w:tcPr>
            <w:tcW w:w="2126" w:type="dxa"/>
            <w:tcBorders>
              <w:top w:val="single" w:sz="4" w:space="0" w:color="auto"/>
              <w:left w:val="single" w:sz="4" w:space="0" w:color="auto"/>
              <w:bottom w:val="single" w:sz="4" w:space="0" w:color="auto"/>
              <w:right w:val="single" w:sz="4" w:space="0" w:color="auto"/>
            </w:tcBorders>
            <w:hideMark/>
          </w:tcPr>
          <w:p w14:paraId="3E422E20" w14:textId="77777777" w:rsidR="00261525" w:rsidRPr="000B227F" w:rsidRDefault="00261525">
            <w:pPr>
              <w:spacing w:after="0" w:line="240" w:lineRule="auto"/>
              <w:ind w:left="-108" w:right="-108"/>
              <w:jc w:val="center"/>
              <w:rPr>
                <w:rFonts w:ascii="Times New Roman" w:hAnsi="Times New Roman" w:cs="Times New Roman"/>
                <w:b/>
                <w:sz w:val="24"/>
                <w:szCs w:val="24"/>
              </w:rPr>
            </w:pPr>
            <w:r w:rsidRPr="000B227F">
              <w:rPr>
                <w:rFonts w:ascii="Times New Roman" w:hAnsi="Times New Roman" w:cs="Times New Roman"/>
                <w:b/>
                <w:sz w:val="24"/>
                <w:szCs w:val="24"/>
              </w:rPr>
              <w:t>Примечание</w:t>
            </w:r>
          </w:p>
          <w:p w14:paraId="0BF05061" w14:textId="77777777" w:rsidR="00261525" w:rsidRPr="000B227F" w:rsidRDefault="00261525">
            <w:pPr>
              <w:spacing w:after="0" w:line="240" w:lineRule="auto"/>
              <w:ind w:left="-108" w:right="-108"/>
              <w:jc w:val="center"/>
              <w:rPr>
                <w:rFonts w:ascii="Times New Roman" w:hAnsi="Times New Roman" w:cs="Times New Roman"/>
                <w:b/>
                <w:sz w:val="24"/>
                <w:szCs w:val="24"/>
              </w:rPr>
            </w:pPr>
            <w:r w:rsidRPr="000B227F">
              <w:rPr>
                <w:rFonts w:ascii="Times New Roman" w:hAnsi="Times New Roman" w:cs="Times New Roman"/>
                <w:b/>
                <w:sz w:val="24"/>
                <w:szCs w:val="24"/>
              </w:rPr>
              <w:t xml:space="preserve">(информация </w:t>
            </w:r>
            <w:r w:rsidRPr="000B227F">
              <w:rPr>
                <w:rFonts w:ascii="Times New Roman" w:hAnsi="Times New Roman" w:cs="Times New Roman"/>
                <w:b/>
                <w:sz w:val="24"/>
                <w:szCs w:val="24"/>
              </w:rPr>
              <w:br/>
              <w:t>об исполнении/</w:t>
            </w:r>
            <w:r w:rsidRPr="000B227F">
              <w:rPr>
                <w:rFonts w:ascii="Times New Roman" w:hAnsi="Times New Roman" w:cs="Times New Roman"/>
                <w:b/>
                <w:sz w:val="24"/>
                <w:szCs w:val="24"/>
              </w:rPr>
              <w:br/>
              <w:t xml:space="preserve">неисполнении) </w:t>
            </w:r>
          </w:p>
        </w:tc>
      </w:tr>
      <w:tr w:rsidR="00121C7D" w:rsidRPr="000B227F" w14:paraId="51709002"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hideMark/>
          </w:tcPr>
          <w:p w14:paraId="7927007C" w14:textId="77777777" w:rsidR="00261525" w:rsidRPr="000B227F" w:rsidRDefault="00261525">
            <w:pPr>
              <w:spacing w:after="20"/>
              <w:ind w:left="20"/>
              <w:jc w:val="center"/>
              <w:rPr>
                <w:rFonts w:ascii="Times New Roman" w:hAnsi="Times New Roman" w:cs="Times New Roman"/>
                <w:sz w:val="24"/>
                <w:szCs w:val="24"/>
                <w:lang w:val="en-US"/>
              </w:rPr>
            </w:pPr>
            <w:r w:rsidRPr="000B227F">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14:paraId="684A9EEA" w14:textId="77777777" w:rsidR="00261525" w:rsidRPr="000B227F" w:rsidRDefault="00261525">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11BF593E" w14:textId="77777777" w:rsidR="00261525" w:rsidRPr="000B227F" w:rsidRDefault="00261525">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74CF5804" w14:textId="77777777" w:rsidR="00261525" w:rsidRPr="000B227F" w:rsidRDefault="00261525">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4</w:t>
            </w:r>
          </w:p>
        </w:tc>
      </w:tr>
      <w:tr w:rsidR="00121C7D" w:rsidRPr="000B227F" w14:paraId="5D0DB80E" w14:textId="77777777" w:rsidTr="00724B07">
        <w:trPr>
          <w:trHeight w:val="313"/>
        </w:trPr>
        <w:tc>
          <w:tcPr>
            <w:tcW w:w="15196" w:type="dxa"/>
            <w:gridSpan w:val="4"/>
            <w:tcBorders>
              <w:top w:val="single" w:sz="4" w:space="0" w:color="auto"/>
              <w:left w:val="single" w:sz="4" w:space="0" w:color="auto"/>
              <w:bottom w:val="single" w:sz="4" w:space="0" w:color="auto"/>
              <w:right w:val="single" w:sz="4" w:space="0" w:color="auto"/>
            </w:tcBorders>
            <w:vAlign w:val="center"/>
            <w:hideMark/>
          </w:tcPr>
          <w:p w14:paraId="66516E9F" w14:textId="77777777" w:rsidR="00261525" w:rsidRPr="000B227F" w:rsidRDefault="00261525" w:rsidP="00724B07">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1. Обеспечение стабильности финансового рынка</w:t>
            </w:r>
          </w:p>
        </w:tc>
      </w:tr>
      <w:tr w:rsidR="00121C7D" w:rsidRPr="000B227F" w14:paraId="224F9EF1"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vAlign w:val="center"/>
            <w:hideMark/>
          </w:tcPr>
          <w:p w14:paraId="725AD94F" w14:textId="77777777" w:rsidR="00261525" w:rsidRPr="000B227F" w:rsidRDefault="00261525" w:rsidP="00724B07">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1. Повышение уровня финансовой устойчивости финансовых организаций</w:t>
            </w:r>
          </w:p>
        </w:tc>
      </w:tr>
      <w:tr w:rsidR="00121C7D" w:rsidRPr="000B227F" w14:paraId="61C9779B" w14:textId="77777777" w:rsidTr="00724B07">
        <w:trPr>
          <w:trHeight w:val="1048"/>
        </w:trPr>
        <w:tc>
          <w:tcPr>
            <w:tcW w:w="4423" w:type="dxa"/>
            <w:vMerge w:val="restart"/>
            <w:tcBorders>
              <w:top w:val="single" w:sz="4" w:space="0" w:color="auto"/>
              <w:left w:val="single" w:sz="4" w:space="0" w:color="auto"/>
              <w:right w:val="single" w:sz="4" w:space="0" w:color="auto"/>
            </w:tcBorders>
          </w:tcPr>
          <w:p w14:paraId="6391451C" w14:textId="77777777" w:rsidR="00261525" w:rsidRPr="000B227F" w:rsidRDefault="00261525" w:rsidP="00FB37CE">
            <w:pPr>
              <w:tabs>
                <w:tab w:val="left" w:pos="34"/>
              </w:tabs>
              <w:rPr>
                <w:rFonts w:ascii="Times New Roman" w:hAnsi="Times New Roman" w:cs="Times New Roman"/>
                <w:sz w:val="24"/>
                <w:szCs w:val="24"/>
              </w:rPr>
            </w:pPr>
            <w:r w:rsidRPr="000B227F">
              <w:rPr>
                <w:rFonts w:ascii="Times New Roman" w:hAnsi="Times New Roman" w:cs="Times New Roman"/>
                <w:sz w:val="24"/>
                <w:szCs w:val="24"/>
              </w:rPr>
              <w:t>Дефицит ликвидности, низкое качество активов, риск дефолта клиентов, как следствие неблагоприятных изменений в экономике</w:t>
            </w:r>
          </w:p>
          <w:p w14:paraId="571540E7" w14:textId="77777777" w:rsidR="00261525" w:rsidRPr="000B227F" w:rsidRDefault="00261525" w:rsidP="00FB37CE">
            <w:pPr>
              <w:tabs>
                <w:tab w:val="left" w:pos="34"/>
              </w:tabs>
              <w:rPr>
                <w:rFonts w:ascii="Times New Roman" w:hAnsi="Times New Roman" w:cs="Times New Roman"/>
                <w:sz w:val="24"/>
                <w:szCs w:val="24"/>
              </w:rPr>
            </w:pPr>
          </w:p>
          <w:p w14:paraId="6567AFD0" w14:textId="77777777" w:rsidR="00261525" w:rsidRPr="000B227F" w:rsidRDefault="00261525" w:rsidP="00FB37CE">
            <w:pPr>
              <w:tabs>
                <w:tab w:val="left" w:pos="34"/>
              </w:tabs>
              <w:rPr>
                <w:rFonts w:ascii="Times New Roman" w:hAnsi="Times New Roman" w:cs="Times New Roman"/>
                <w:sz w:val="24"/>
                <w:szCs w:val="24"/>
              </w:rPr>
            </w:pPr>
          </w:p>
          <w:p w14:paraId="55D0ACDB" w14:textId="77777777" w:rsidR="00261525" w:rsidRPr="000B227F" w:rsidRDefault="00261525" w:rsidP="00FB37CE">
            <w:pPr>
              <w:tabs>
                <w:tab w:val="left" w:pos="34"/>
              </w:tabs>
              <w:rPr>
                <w:rFonts w:ascii="Times New Roman" w:hAnsi="Times New Roman" w:cs="Times New Roman"/>
                <w:sz w:val="24"/>
                <w:szCs w:val="24"/>
              </w:rPr>
            </w:pPr>
            <w:r w:rsidRPr="000B227F">
              <w:rPr>
                <w:rFonts w:ascii="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418435C9" w14:textId="77777777" w:rsidR="00261525" w:rsidRPr="000B227F" w:rsidRDefault="00261525" w:rsidP="00FB37CE">
            <w:pPr>
              <w:numPr>
                <w:ilvl w:val="0"/>
                <w:numId w:val="12"/>
              </w:numPr>
              <w:tabs>
                <w:tab w:val="left" w:pos="34"/>
                <w:tab w:val="left" w:pos="346"/>
              </w:tabs>
              <w:spacing w:after="0" w:line="240" w:lineRule="auto"/>
              <w:ind w:left="34" w:firstLine="0"/>
              <w:contextualSpacing/>
              <w:jc w:val="both"/>
              <w:rPr>
                <w:rFonts w:ascii="Times New Roman" w:hAnsi="Times New Roman" w:cs="Times New Roman"/>
                <w:sz w:val="24"/>
                <w:szCs w:val="24"/>
              </w:rPr>
            </w:pPr>
            <w:r w:rsidRPr="000B227F">
              <w:rPr>
                <w:rFonts w:ascii="Times New Roman" w:hAnsi="Times New Roman" w:cs="Times New Roman"/>
                <w:sz w:val="24"/>
                <w:szCs w:val="24"/>
              </w:rPr>
              <w:t>Формирование плана мероприятий на случай непредвиденных обстоятельств</w:t>
            </w:r>
          </w:p>
        </w:tc>
        <w:tc>
          <w:tcPr>
            <w:tcW w:w="3686" w:type="dxa"/>
            <w:tcBorders>
              <w:top w:val="single" w:sz="4" w:space="0" w:color="auto"/>
              <w:left w:val="single" w:sz="4" w:space="0" w:color="auto"/>
              <w:right w:val="single" w:sz="4" w:space="0" w:color="auto"/>
            </w:tcBorders>
          </w:tcPr>
          <w:p w14:paraId="2C058319" w14:textId="7B087DCF" w:rsidR="00261525" w:rsidRPr="000B227F" w:rsidRDefault="00C600DB" w:rsidP="00724B07">
            <w:pPr>
              <w:tabs>
                <w:tab w:val="left" w:pos="34"/>
                <w:tab w:val="left" w:pos="346"/>
              </w:tabs>
              <w:spacing w:after="0" w:line="240" w:lineRule="auto"/>
              <w:contextualSpacing/>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b/>
                <w:i/>
                <w:sz w:val="24"/>
                <w:szCs w:val="24"/>
              </w:rPr>
              <w:t xml:space="preserve"> </w:t>
            </w:r>
          </w:p>
        </w:tc>
        <w:tc>
          <w:tcPr>
            <w:tcW w:w="2126" w:type="dxa"/>
            <w:tcBorders>
              <w:top w:val="single" w:sz="4" w:space="0" w:color="auto"/>
              <w:left w:val="single" w:sz="4" w:space="0" w:color="auto"/>
              <w:right w:val="single" w:sz="4" w:space="0" w:color="auto"/>
            </w:tcBorders>
            <w:hideMark/>
          </w:tcPr>
          <w:p w14:paraId="44F7540E" w14:textId="7A523A3B" w:rsidR="00B65810" w:rsidRPr="000B227F" w:rsidRDefault="00261525"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2296CFE8" w14:textId="77777777" w:rsidR="00C600DB" w:rsidRPr="000B227F" w:rsidRDefault="00C600DB" w:rsidP="00724B07">
            <w:pPr>
              <w:spacing w:after="0" w:line="240" w:lineRule="auto"/>
              <w:jc w:val="center"/>
              <w:rPr>
                <w:rFonts w:ascii="Times New Roman" w:hAnsi="Times New Roman" w:cs="Times New Roman"/>
                <w:sz w:val="24"/>
                <w:szCs w:val="24"/>
              </w:rPr>
            </w:pPr>
          </w:p>
          <w:p w14:paraId="5F6085AF" w14:textId="77777777" w:rsidR="00B65810" w:rsidRPr="000B227F" w:rsidRDefault="00B65810" w:rsidP="00724B07">
            <w:pPr>
              <w:spacing w:after="0" w:line="240" w:lineRule="auto"/>
              <w:jc w:val="center"/>
              <w:rPr>
                <w:rFonts w:ascii="Times New Roman" w:hAnsi="Times New Roman" w:cs="Times New Roman"/>
                <w:sz w:val="24"/>
                <w:szCs w:val="24"/>
              </w:rPr>
            </w:pPr>
          </w:p>
          <w:p w14:paraId="46B9D266" w14:textId="77777777" w:rsidR="00261525" w:rsidRPr="000B227F" w:rsidRDefault="00261525" w:rsidP="00724B07">
            <w:pPr>
              <w:spacing w:after="0" w:line="240" w:lineRule="auto"/>
              <w:jc w:val="center"/>
              <w:rPr>
                <w:rFonts w:ascii="Times New Roman" w:hAnsi="Times New Roman" w:cs="Times New Roman"/>
                <w:sz w:val="24"/>
                <w:szCs w:val="24"/>
              </w:rPr>
            </w:pPr>
          </w:p>
        </w:tc>
      </w:tr>
      <w:tr w:rsidR="00121C7D" w:rsidRPr="000B227F" w14:paraId="36DBDC02" w14:textId="77777777" w:rsidTr="00724B07">
        <w:trPr>
          <w:trHeight w:val="1048"/>
        </w:trPr>
        <w:tc>
          <w:tcPr>
            <w:tcW w:w="4423" w:type="dxa"/>
            <w:vMerge/>
            <w:tcBorders>
              <w:left w:val="single" w:sz="4" w:space="0" w:color="auto"/>
              <w:right w:val="single" w:sz="4" w:space="0" w:color="auto"/>
            </w:tcBorders>
          </w:tcPr>
          <w:p w14:paraId="08FE6C60" w14:textId="77777777" w:rsidR="00261525" w:rsidRPr="000B227F" w:rsidRDefault="00261525" w:rsidP="000468E5">
            <w:pPr>
              <w:tabs>
                <w:tab w:val="left" w:pos="34"/>
              </w:tabs>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390440B" w14:textId="77777777" w:rsidR="00261525" w:rsidRPr="000B227F" w:rsidRDefault="00261525" w:rsidP="00866286">
            <w:pPr>
              <w:tabs>
                <w:tab w:val="left" w:pos="34"/>
              </w:tabs>
              <w:rPr>
                <w:rFonts w:ascii="Times New Roman" w:hAnsi="Times New Roman" w:cs="Times New Roman"/>
                <w:sz w:val="24"/>
                <w:szCs w:val="24"/>
              </w:rPr>
            </w:pPr>
            <w:r w:rsidRPr="000B227F">
              <w:rPr>
                <w:rFonts w:ascii="Times New Roman" w:hAnsi="Times New Roman" w:cs="Times New Roman"/>
                <w:sz w:val="24"/>
                <w:szCs w:val="24"/>
              </w:rPr>
              <w:t xml:space="preserve">2) Разработка планов по </w:t>
            </w:r>
            <w:proofErr w:type="spellStart"/>
            <w:r w:rsidRPr="000B227F">
              <w:rPr>
                <w:rFonts w:ascii="Times New Roman" w:hAnsi="Times New Roman" w:cs="Times New Roman"/>
                <w:sz w:val="24"/>
                <w:szCs w:val="24"/>
              </w:rPr>
              <w:t>докапитализации</w:t>
            </w:r>
            <w:proofErr w:type="spellEnd"/>
            <w:r w:rsidRPr="000B227F">
              <w:rPr>
                <w:rFonts w:ascii="Times New Roman" w:hAnsi="Times New Roman" w:cs="Times New Roman"/>
                <w:sz w:val="24"/>
                <w:szCs w:val="24"/>
              </w:rPr>
              <w:t xml:space="preserve"> акционерами финансовых организаций при ухудшении финансового состояния</w:t>
            </w:r>
          </w:p>
        </w:tc>
        <w:tc>
          <w:tcPr>
            <w:tcW w:w="3686" w:type="dxa"/>
            <w:tcBorders>
              <w:left w:val="single" w:sz="4" w:space="0" w:color="auto"/>
              <w:right w:val="single" w:sz="4" w:space="0" w:color="auto"/>
            </w:tcBorders>
          </w:tcPr>
          <w:p w14:paraId="4905EC47" w14:textId="65D1A493" w:rsidR="00724B07" w:rsidRPr="000B227F" w:rsidRDefault="00C600DB" w:rsidP="00724B07">
            <w:pPr>
              <w:tabs>
                <w:tab w:val="left" w:pos="34"/>
                <w:tab w:val="left" w:pos="346"/>
              </w:tabs>
              <w:spacing w:after="0" w:line="240" w:lineRule="auto"/>
              <w:ind w:left="34"/>
              <w:contextualSpacing/>
              <w:jc w:val="both"/>
              <w:rPr>
                <w:rFonts w:ascii="Times New Roman" w:eastAsia="Times New Roman" w:hAnsi="Times New Roman" w:cs="Times New Roman"/>
                <w:i/>
                <w:sz w:val="24"/>
                <w:szCs w:val="24"/>
                <w:lang w:eastAsia="ru-RU"/>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p w14:paraId="36A38E58" w14:textId="77777777" w:rsidR="00261525" w:rsidRPr="000B227F" w:rsidRDefault="00261525" w:rsidP="00724B07">
            <w:pPr>
              <w:rPr>
                <w:rFonts w:ascii="Times New Roman" w:eastAsia="Times New Roman" w:hAnsi="Times New Roman" w:cs="Times New Roman"/>
                <w:sz w:val="24"/>
                <w:szCs w:val="24"/>
                <w:lang w:eastAsia="ru-RU"/>
              </w:rPr>
            </w:pPr>
          </w:p>
        </w:tc>
        <w:tc>
          <w:tcPr>
            <w:tcW w:w="2126" w:type="dxa"/>
            <w:tcBorders>
              <w:left w:val="single" w:sz="4" w:space="0" w:color="auto"/>
              <w:right w:val="single" w:sz="4" w:space="0" w:color="auto"/>
            </w:tcBorders>
          </w:tcPr>
          <w:p w14:paraId="0346313E" w14:textId="28BE9536" w:rsidR="00724B07"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326F0EC9" w14:textId="77777777" w:rsidR="00261525" w:rsidRPr="000B227F" w:rsidRDefault="00261525" w:rsidP="00724B07">
            <w:pPr>
              <w:rPr>
                <w:rFonts w:ascii="Times New Roman" w:hAnsi="Times New Roman" w:cs="Times New Roman"/>
                <w:sz w:val="24"/>
                <w:szCs w:val="24"/>
              </w:rPr>
            </w:pPr>
          </w:p>
        </w:tc>
      </w:tr>
      <w:tr w:rsidR="00C600DB" w:rsidRPr="000B227F" w14:paraId="765C0FE2" w14:textId="77777777" w:rsidTr="00724B07">
        <w:trPr>
          <w:trHeight w:val="418"/>
        </w:trPr>
        <w:tc>
          <w:tcPr>
            <w:tcW w:w="4423" w:type="dxa"/>
            <w:vMerge/>
            <w:tcBorders>
              <w:left w:val="single" w:sz="4" w:space="0" w:color="auto"/>
              <w:right w:val="single" w:sz="4" w:space="0" w:color="auto"/>
            </w:tcBorders>
          </w:tcPr>
          <w:p w14:paraId="2B941352" w14:textId="77777777" w:rsidR="00C600DB" w:rsidRPr="000B227F" w:rsidRDefault="00C600DB" w:rsidP="00C600DB">
            <w:pPr>
              <w:tabs>
                <w:tab w:val="left" w:pos="34"/>
              </w:tabs>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781FEE4" w14:textId="6A58A0E2"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 xml:space="preserve">3) Совершенствование риск-ориентированного надзора и </w:t>
            </w:r>
            <w:proofErr w:type="spellStart"/>
            <w:r w:rsidRPr="000B227F">
              <w:rPr>
                <w:rFonts w:ascii="Times New Roman" w:hAnsi="Times New Roman" w:cs="Times New Roman"/>
                <w:sz w:val="24"/>
                <w:szCs w:val="24"/>
              </w:rPr>
              <w:t>пруденциального</w:t>
            </w:r>
            <w:proofErr w:type="spellEnd"/>
            <w:r w:rsidRPr="000B227F">
              <w:rPr>
                <w:rFonts w:ascii="Times New Roman" w:hAnsi="Times New Roman" w:cs="Times New Roman"/>
                <w:sz w:val="24"/>
                <w:szCs w:val="24"/>
              </w:rPr>
              <w:t xml:space="preserve"> регулирования финансовых организаций</w:t>
            </w:r>
          </w:p>
        </w:tc>
        <w:tc>
          <w:tcPr>
            <w:tcW w:w="3686" w:type="dxa"/>
            <w:tcBorders>
              <w:left w:val="single" w:sz="4" w:space="0" w:color="auto"/>
              <w:right w:val="single" w:sz="4" w:space="0" w:color="auto"/>
            </w:tcBorders>
          </w:tcPr>
          <w:p w14:paraId="70186BDF" w14:textId="7FFC8868" w:rsidR="00C600DB" w:rsidRPr="000B227F" w:rsidRDefault="00C600DB" w:rsidP="00724B07">
            <w:pPr>
              <w:tabs>
                <w:tab w:val="left" w:pos="34"/>
              </w:tabs>
              <w:spacing w:after="0" w:line="240" w:lineRule="auto"/>
              <w:jc w:val="both"/>
              <w:rPr>
                <w:rFonts w:ascii="Times New Roman" w:eastAsia="Times New Roman" w:hAnsi="Times New Roman" w:cs="Times New Roman"/>
                <w:i/>
                <w:sz w:val="24"/>
                <w:szCs w:val="24"/>
                <w:lang w:eastAsia="ru-RU"/>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b/>
                <w:i/>
                <w:sz w:val="24"/>
                <w:szCs w:val="24"/>
              </w:rPr>
              <w:t xml:space="preserve"> </w:t>
            </w:r>
          </w:p>
        </w:tc>
        <w:tc>
          <w:tcPr>
            <w:tcW w:w="2126" w:type="dxa"/>
            <w:tcBorders>
              <w:left w:val="single" w:sz="4" w:space="0" w:color="auto"/>
              <w:right w:val="single" w:sz="4" w:space="0" w:color="auto"/>
            </w:tcBorders>
          </w:tcPr>
          <w:p w14:paraId="3E58F92D" w14:textId="6F6781B4"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3881547F" w14:textId="77777777" w:rsidTr="00724B07">
        <w:trPr>
          <w:trHeight w:val="1048"/>
        </w:trPr>
        <w:tc>
          <w:tcPr>
            <w:tcW w:w="4423" w:type="dxa"/>
            <w:vMerge/>
            <w:tcBorders>
              <w:left w:val="single" w:sz="4" w:space="0" w:color="auto"/>
              <w:bottom w:val="single" w:sz="4" w:space="0" w:color="auto"/>
              <w:right w:val="single" w:sz="4" w:space="0" w:color="auto"/>
            </w:tcBorders>
          </w:tcPr>
          <w:p w14:paraId="44DA3774" w14:textId="77777777" w:rsidR="00C600DB" w:rsidRPr="000B227F" w:rsidRDefault="00C600DB" w:rsidP="00C600DB">
            <w:pPr>
              <w:tabs>
                <w:tab w:val="left" w:pos="34"/>
              </w:tabs>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28E3BC7"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4) Принятие надзорных мер для повышения устойчивости и способности противодействия финансовых организаций к внутренним и внешним угрозам и шокам</w:t>
            </w:r>
          </w:p>
        </w:tc>
        <w:tc>
          <w:tcPr>
            <w:tcW w:w="3686" w:type="dxa"/>
            <w:tcBorders>
              <w:left w:val="single" w:sz="4" w:space="0" w:color="auto"/>
              <w:bottom w:val="single" w:sz="4" w:space="0" w:color="auto"/>
              <w:right w:val="single" w:sz="4" w:space="0" w:color="auto"/>
            </w:tcBorders>
          </w:tcPr>
          <w:p w14:paraId="1BB9DE39" w14:textId="19B599CA" w:rsidR="00C600DB" w:rsidRPr="000B227F" w:rsidRDefault="00C600DB" w:rsidP="00724B07">
            <w:pPr>
              <w:spacing w:after="0" w:line="240" w:lineRule="auto"/>
              <w:jc w:val="both"/>
              <w:rPr>
                <w:rFonts w:ascii="Times New Roman" w:eastAsia="Times New Roman" w:hAnsi="Times New Roman" w:cs="Times New Roman"/>
                <w:i/>
                <w:sz w:val="24"/>
                <w:szCs w:val="24"/>
                <w:lang w:eastAsia="ru-RU"/>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left w:val="single" w:sz="4" w:space="0" w:color="auto"/>
              <w:bottom w:val="single" w:sz="4" w:space="0" w:color="auto"/>
              <w:right w:val="single" w:sz="4" w:space="0" w:color="auto"/>
            </w:tcBorders>
          </w:tcPr>
          <w:p w14:paraId="448EE203" w14:textId="6BBE58E9" w:rsidR="00C600DB" w:rsidRPr="000B227F" w:rsidRDefault="00724B07"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6498FF9A"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549369F2" w14:textId="77777777" w:rsidR="00C600DB" w:rsidRPr="000B227F" w:rsidRDefault="00C600DB" w:rsidP="00C600DB">
            <w:pPr>
              <w:tabs>
                <w:tab w:val="left" w:pos="34"/>
              </w:tabs>
              <w:spacing w:after="0"/>
              <w:rPr>
                <w:rFonts w:ascii="Times New Roman" w:hAnsi="Times New Roman" w:cs="Times New Roman"/>
                <w:sz w:val="24"/>
                <w:szCs w:val="24"/>
              </w:rPr>
            </w:pPr>
            <w:r w:rsidRPr="000B227F">
              <w:rPr>
                <w:rFonts w:ascii="Times New Roman" w:hAnsi="Times New Roman" w:cs="Times New Roman"/>
                <w:sz w:val="24"/>
                <w:szCs w:val="24"/>
              </w:rPr>
              <w:lastRenderedPageBreak/>
              <w:t>Недостатки в системах управления рисками и внутреннего контроля</w:t>
            </w:r>
          </w:p>
        </w:tc>
        <w:tc>
          <w:tcPr>
            <w:tcW w:w="4961" w:type="dxa"/>
            <w:tcBorders>
              <w:top w:val="single" w:sz="4" w:space="0" w:color="auto"/>
              <w:left w:val="single" w:sz="4" w:space="0" w:color="auto"/>
              <w:bottom w:val="single" w:sz="4" w:space="0" w:color="auto"/>
              <w:right w:val="single" w:sz="4" w:space="0" w:color="auto"/>
            </w:tcBorders>
          </w:tcPr>
          <w:p w14:paraId="365452A4" w14:textId="77777777" w:rsidR="00C600DB" w:rsidRPr="000B227F" w:rsidRDefault="00C600DB" w:rsidP="00C600DB">
            <w:pPr>
              <w:tabs>
                <w:tab w:val="left" w:pos="34"/>
              </w:tabs>
              <w:spacing w:after="0"/>
              <w:contextualSpacing/>
              <w:jc w:val="both"/>
              <w:rPr>
                <w:rFonts w:ascii="Times New Roman" w:hAnsi="Times New Roman" w:cs="Times New Roman"/>
                <w:sz w:val="24"/>
                <w:szCs w:val="24"/>
              </w:rPr>
            </w:pPr>
            <w:r w:rsidRPr="000B227F">
              <w:rPr>
                <w:rFonts w:ascii="Times New Roman" w:hAnsi="Times New Roman" w:cs="Times New Roman"/>
                <w:sz w:val="24"/>
                <w:szCs w:val="24"/>
              </w:rPr>
              <w:t>Осуществление контроля и надзора за системами управления рисками, включая анализ и оценку внутренних документов, процедур принятия решений, структуры корпоративного управления, а также выявления основных недостатков и проблем в системах управления рисками и внутреннего контроля финансовых организаций и разработка соответствующих надзорных требований</w:t>
            </w:r>
          </w:p>
        </w:tc>
        <w:tc>
          <w:tcPr>
            <w:tcW w:w="3686" w:type="dxa"/>
            <w:tcBorders>
              <w:top w:val="single" w:sz="4" w:space="0" w:color="auto"/>
              <w:left w:val="single" w:sz="4" w:space="0" w:color="auto"/>
              <w:bottom w:val="single" w:sz="4" w:space="0" w:color="auto"/>
              <w:right w:val="single" w:sz="4" w:space="0" w:color="auto"/>
            </w:tcBorders>
          </w:tcPr>
          <w:p w14:paraId="1979E1A5" w14:textId="26BF21CD" w:rsidR="00C600DB" w:rsidRPr="000B227F" w:rsidRDefault="00C600DB" w:rsidP="00C600DB">
            <w:pPr>
              <w:spacing w:after="0"/>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73D24474" w14:textId="77777777"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7CFD8501"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5C9296ED" w14:textId="77777777" w:rsidR="00C600DB" w:rsidRPr="000B227F" w:rsidRDefault="00C600DB" w:rsidP="00C600DB">
            <w:pPr>
              <w:spacing w:after="0"/>
              <w:rPr>
                <w:rFonts w:ascii="Times New Roman" w:hAnsi="Times New Roman" w:cs="Times New Roman"/>
                <w:sz w:val="24"/>
                <w:szCs w:val="24"/>
              </w:rPr>
            </w:pPr>
            <w:r w:rsidRPr="000B227F">
              <w:rPr>
                <w:rFonts w:ascii="Times New Roman" w:hAnsi="Times New Roman" w:cs="Times New Roman"/>
                <w:sz w:val="24"/>
                <w:szCs w:val="24"/>
              </w:rPr>
              <w:t>Сохранение низкой диверсификации ссудных портфелей банков</w:t>
            </w:r>
          </w:p>
        </w:tc>
        <w:tc>
          <w:tcPr>
            <w:tcW w:w="4961" w:type="dxa"/>
            <w:tcBorders>
              <w:top w:val="single" w:sz="4" w:space="0" w:color="auto"/>
              <w:left w:val="single" w:sz="4" w:space="0" w:color="auto"/>
              <w:bottom w:val="single" w:sz="4" w:space="0" w:color="auto"/>
              <w:right w:val="single" w:sz="4" w:space="0" w:color="auto"/>
            </w:tcBorders>
          </w:tcPr>
          <w:p w14:paraId="7EB4F615" w14:textId="77777777" w:rsidR="00C600DB" w:rsidRPr="000B227F" w:rsidRDefault="00C600DB" w:rsidP="00C600DB">
            <w:pPr>
              <w:tabs>
                <w:tab w:val="left" w:pos="524"/>
              </w:tabs>
              <w:spacing w:after="0"/>
              <w:rPr>
                <w:rFonts w:ascii="Times New Roman" w:hAnsi="Times New Roman" w:cs="Times New Roman"/>
                <w:sz w:val="24"/>
                <w:szCs w:val="24"/>
              </w:rPr>
            </w:pPr>
            <w:r w:rsidRPr="000B227F">
              <w:rPr>
                <w:rFonts w:ascii="Times New Roman" w:hAnsi="Times New Roman" w:cs="Times New Roman"/>
                <w:sz w:val="24"/>
                <w:szCs w:val="24"/>
              </w:rPr>
              <w:t xml:space="preserve">Разработка регуляторных стимулов и устранение барьеров для развития рынка корпоративного кредитования </w:t>
            </w:r>
          </w:p>
        </w:tc>
        <w:tc>
          <w:tcPr>
            <w:tcW w:w="3686" w:type="dxa"/>
            <w:tcBorders>
              <w:top w:val="single" w:sz="4" w:space="0" w:color="auto"/>
              <w:left w:val="single" w:sz="4" w:space="0" w:color="auto"/>
              <w:bottom w:val="single" w:sz="4" w:space="0" w:color="auto"/>
              <w:right w:val="single" w:sz="4" w:space="0" w:color="auto"/>
            </w:tcBorders>
          </w:tcPr>
          <w:p w14:paraId="3CD821A4" w14:textId="061FACF2" w:rsidR="00C600DB" w:rsidRPr="000B227F" w:rsidRDefault="00C600DB" w:rsidP="00724B07">
            <w:pPr>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4A8F780E" w14:textId="77777777"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688FECAB"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24E461FD"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2. Повышение эффективности финансового сектора для финансирования экономики</w:t>
            </w:r>
          </w:p>
        </w:tc>
      </w:tr>
      <w:tr w:rsidR="00C600DB" w:rsidRPr="000B227F" w14:paraId="1CFC08EE"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74773A14"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2. Повышение кредитования реального сектора экономики</w:t>
            </w:r>
          </w:p>
        </w:tc>
      </w:tr>
      <w:tr w:rsidR="00C600DB" w:rsidRPr="000B227F" w14:paraId="77587417"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0BEF4916" w14:textId="77777777" w:rsidR="00C600DB" w:rsidRPr="000B227F" w:rsidRDefault="00C600DB" w:rsidP="00C600DB">
            <w:pPr>
              <w:rPr>
                <w:rFonts w:ascii="Times New Roman" w:hAnsi="Times New Roman" w:cs="Times New Roman"/>
                <w:sz w:val="24"/>
                <w:szCs w:val="24"/>
              </w:rPr>
            </w:pPr>
            <w:r w:rsidRPr="000B227F">
              <w:rPr>
                <w:rFonts w:ascii="Times New Roman" w:hAnsi="Times New Roman" w:cs="Times New Roman"/>
                <w:sz w:val="24"/>
                <w:szCs w:val="24"/>
              </w:rPr>
              <w:t xml:space="preserve">Повышение рисков в экономике в результате реализации негативных сценариев </w:t>
            </w:r>
          </w:p>
        </w:tc>
        <w:tc>
          <w:tcPr>
            <w:tcW w:w="4961" w:type="dxa"/>
            <w:tcBorders>
              <w:top w:val="single" w:sz="4" w:space="0" w:color="auto"/>
              <w:left w:val="single" w:sz="4" w:space="0" w:color="auto"/>
              <w:bottom w:val="single" w:sz="4" w:space="0" w:color="auto"/>
              <w:right w:val="single" w:sz="4" w:space="0" w:color="auto"/>
            </w:tcBorders>
          </w:tcPr>
          <w:p w14:paraId="75D3946D"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Стимулирование финансирования экономики частным финансовым сектором без участия государства путем применения механизмов по снижению рисков (государственные гарантии, страхование кредитного риска)</w:t>
            </w:r>
          </w:p>
        </w:tc>
        <w:tc>
          <w:tcPr>
            <w:tcW w:w="3686" w:type="dxa"/>
            <w:tcBorders>
              <w:top w:val="single" w:sz="4" w:space="0" w:color="auto"/>
              <w:left w:val="single" w:sz="4" w:space="0" w:color="auto"/>
              <w:bottom w:val="single" w:sz="4" w:space="0" w:color="auto"/>
              <w:right w:val="single" w:sz="4" w:space="0" w:color="auto"/>
            </w:tcBorders>
          </w:tcPr>
          <w:p w14:paraId="3BB086DD" w14:textId="737F811E" w:rsidR="00C600DB" w:rsidRPr="000B227F" w:rsidRDefault="00C600DB" w:rsidP="00724B07">
            <w:pPr>
              <w:widowControl w:val="0"/>
              <w:tabs>
                <w:tab w:val="left" w:pos="0"/>
              </w:tabs>
              <w:spacing w:after="0" w:line="240" w:lineRule="auto"/>
              <w:contextualSpacing/>
              <w:jc w:val="both"/>
              <w:rPr>
                <w:rFonts w:ascii="Times New Roman" w:hAnsi="Times New Roman" w:cs="Times New Roman"/>
                <w:bCs/>
                <w:sz w:val="24"/>
                <w:szCs w:val="24"/>
                <w:lang w:eastAsia="x-none"/>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7E32A107" w14:textId="77777777" w:rsidR="00C600DB" w:rsidRPr="000B227F" w:rsidRDefault="00C600DB" w:rsidP="00C600DB">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 xml:space="preserve">Исполнено </w:t>
            </w:r>
          </w:p>
        </w:tc>
      </w:tr>
      <w:tr w:rsidR="00C600DB" w:rsidRPr="000B227F" w14:paraId="5FACFF3E"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176A7B96"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eastAsia="Times New Roman" w:hAnsi="Times New Roman" w:cs="Times New Roman"/>
                <w:sz w:val="24"/>
                <w:szCs w:val="24"/>
                <w:lang w:eastAsia="ru-RU"/>
              </w:rPr>
              <w:t xml:space="preserve">Низкая осведомленность и отсутствие интереса к инструментам фондового рынка со стороны населения </w:t>
            </w:r>
          </w:p>
        </w:tc>
        <w:tc>
          <w:tcPr>
            <w:tcW w:w="4961" w:type="dxa"/>
            <w:tcBorders>
              <w:top w:val="single" w:sz="4" w:space="0" w:color="auto"/>
              <w:left w:val="single" w:sz="4" w:space="0" w:color="auto"/>
              <w:bottom w:val="single" w:sz="4" w:space="0" w:color="auto"/>
              <w:right w:val="single" w:sz="4" w:space="0" w:color="auto"/>
            </w:tcBorders>
          </w:tcPr>
          <w:p w14:paraId="6B13EC40"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eastAsia="Times New Roman" w:hAnsi="Times New Roman" w:cs="Times New Roman"/>
                <w:sz w:val="24"/>
                <w:szCs w:val="24"/>
                <w:lang w:eastAsia="ru-RU"/>
              </w:rPr>
              <w:t xml:space="preserve">Активизация информационных и маркетинговых программ со стороны участников рынка и KASE </w:t>
            </w:r>
          </w:p>
        </w:tc>
        <w:tc>
          <w:tcPr>
            <w:tcW w:w="3686" w:type="dxa"/>
            <w:tcBorders>
              <w:top w:val="single" w:sz="4" w:space="0" w:color="auto"/>
              <w:left w:val="single" w:sz="4" w:space="0" w:color="auto"/>
              <w:bottom w:val="single" w:sz="4" w:space="0" w:color="auto"/>
              <w:right w:val="single" w:sz="4" w:space="0" w:color="auto"/>
            </w:tcBorders>
          </w:tcPr>
          <w:p w14:paraId="63F201CE" w14:textId="3DBB7DFF" w:rsidR="00C600DB" w:rsidRPr="000B227F" w:rsidRDefault="00C600DB" w:rsidP="00724B07">
            <w:pPr>
              <w:spacing w:after="0" w:line="240" w:lineRule="auto"/>
              <w:contextualSpacing/>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563C3AEA" w14:textId="77777777" w:rsidR="00C600DB" w:rsidRPr="000B227F" w:rsidRDefault="00C600DB" w:rsidP="00C600DB">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56899BBC"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0AC8DE5E" w14:textId="265F0646" w:rsidR="00C600DB" w:rsidRPr="000B227F" w:rsidRDefault="00C600DB" w:rsidP="00724B07">
            <w:pPr>
              <w:rPr>
                <w:rFonts w:ascii="Times New Roman" w:hAnsi="Times New Roman" w:cs="Times New Roman"/>
                <w:sz w:val="24"/>
                <w:szCs w:val="24"/>
              </w:rPr>
            </w:pPr>
            <w:r w:rsidRPr="000B227F">
              <w:rPr>
                <w:rFonts w:ascii="Times New Roman" w:hAnsi="Times New Roman" w:cs="Times New Roman"/>
                <w:sz w:val="24"/>
                <w:szCs w:val="24"/>
              </w:rPr>
              <w:t xml:space="preserve">Концентрация рисков на фондовой бирже как на организаторе торгов, так и </w:t>
            </w:r>
            <w:r w:rsidRPr="000B227F">
              <w:rPr>
                <w:rFonts w:ascii="Times New Roman" w:hAnsi="Times New Roman" w:cs="Times New Roman"/>
                <w:sz w:val="24"/>
                <w:szCs w:val="24"/>
              </w:rPr>
              <w:lastRenderedPageBreak/>
              <w:t>организации, выполняющей функции центрального контрагента</w:t>
            </w:r>
          </w:p>
        </w:tc>
        <w:tc>
          <w:tcPr>
            <w:tcW w:w="4961" w:type="dxa"/>
            <w:tcBorders>
              <w:top w:val="single" w:sz="4" w:space="0" w:color="auto"/>
              <w:left w:val="single" w:sz="4" w:space="0" w:color="auto"/>
              <w:bottom w:val="single" w:sz="4" w:space="0" w:color="auto"/>
              <w:right w:val="single" w:sz="4" w:space="0" w:color="auto"/>
            </w:tcBorders>
          </w:tcPr>
          <w:p w14:paraId="570784C1" w14:textId="5027E75F" w:rsidR="00C600DB" w:rsidRPr="000B227F" w:rsidRDefault="00C600DB" w:rsidP="00C600DB">
            <w:pPr>
              <w:rPr>
                <w:rFonts w:ascii="Times New Roman" w:hAnsi="Times New Roman" w:cs="Times New Roman"/>
                <w:sz w:val="24"/>
                <w:szCs w:val="24"/>
              </w:rPr>
            </w:pPr>
            <w:r w:rsidRPr="000B227F">
              <w:rPr>
                <w:rFonts w:ascii="Times New Roman" w:eastAsia="Times New Roman" w:hAnsi="Times New Roman" w:cs="Times New Roman"/>
                <w:sz w:val="24"/>
                <w:szCs w:val="24"/>
                <w:lang w:eastAsia="ru-RU"/>
              </w:rPr>
              <w:lastRenderedPageBreak/>
              <w:t>Выделение из фондовой биржи центрального контрагента на фондовом рынке в качестве самостоятельного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249D7FD3" w14:textId="3F9C953A" w:rsidR="00C600DB" w:rsidRPr="000B227F" w:rsidRDefault="00C600DB" w:rsidP="00C600DB">
            <w:pPr>
              <w:tabs>
                <w:tab w:val="left" w:pos="34"/>
              </w:tabs>
              <w:suppressAutoHyphens/>
              <w:spacing w:after="0"/>
              <w:jc w:val="both"/>
              <w:rPr>
                <w:rFonts w:ascii="Times New Roman" w:eastAsia="Times New Roman" w:hAnsi="Times New Roman" w:cs="Times New Roman"/>
                <w:sz w:val="24"/>
                <w:szCs w:val="24"/>
                <w:lang w:eastAsia="ru-RU"/>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493D7A4C" w14:textId="77777777" w:rsidR="00C600DB" w:rsidRPr="000B227F" w:rsidRDefault="00C600DB" w:rsidP="00C600DB">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На исполнении</w:t>
            </w:r>
          </w:p>
        </w:tc>
      </w:tr>
      <w:tr w:rsidR="00C600DB" w:rsidRPr="000B227F" w14:paraId="41A6EB3C"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78286B3D" w14:textId="77777777" w:rsidR="00C600DB" w:rsidRPr="000B227F" w:rsidRDefault="00C600DB" w:rsidP="00C600DB">
            <w:pPr>
              <w:jc w:val="center"/>
              <w:textAlignment w:val="baseline"/>
              <w:rPr>
                <w:rFonts w:ascii="Times New Roman" w:hAnsi="Times New Roman" w:cs="Times New Roman"/>
                <w:b/>
                <w:sz w:val="24"/>
                <w:szCs w:val="20"/>
              </w:rPr>
            </w:pPr>
            <w:r w:rsidRPr="000B227F">
              <w:rPr>
                <w:rFonts w:ascii="Times New Roman" w:hAnsi="Times New Roman" w:cs="Times New Roman"/>
                <w:b/>
                <w:sz w:val="24"/>
                <w:szCs w:val="20"/>
              </w:rPr>
              <w:lastRenderedPageBreak/>
              <w:t xml:space="preserve">Стратегическое направление 3. Защита прав потребителей финансовых услуг, повышение финансовой доступности и финансовой грамотности </w:t>
            </w:r>
          </w:p>
        </w:tc>
      </w:tr>
      <w:tr w:rsidR="00C600DB" w:rsidRPr="000B227F" w14:paraId="4E4688F8"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3B9B422D" w14:textId="77777777" w:rsidR="00C600DB" w:rsidRPr="000B227F" w:rsidRDefault="00C600DB" w:rsidP="00C600DB">
            <w:pPr>
              <w:jc w:val="center"/>
              <w:textAlignment w:val="baseline"/>
              <w:rPr>
                <w:rFonts w:ascii="Times New Roman" w:hAnsi="Times New Roman" w:cs="Times New Roman"/>
                <w:b/>
                <w:sz w:val="24"/>
                <w:szCs w:val="20"/>
              </w:rPr>
            </w:pPr>
            <w:r w:rsidRPr="000B227F">
              <w:rPr>
                <w:rFonts w:ascii="Times New Roman" w:hAnsi="Times New Roman" w:cs="Times New Roman"/>
                <w:b/>
                <w:sz w:val="24"/>
                <w:szCs w:val="20"/>
              </w:rPr>
              <w:t xml:space="preserve">Цель 3. Повышение вовлеченности граждан в финансовый сектор и </w:t>
            </w:r>
            <w:r w:rsidRPr="000B227F">
              <w:rPr>
                <w:rFonts w:ascii="Times New Roman" w:hAnsi="Times New Roman" w:cs="Times New Roman"/>
                <w:b/>
                <w:bCs/>
                <w:sz w:val="24"/>
                <w:szCs w:val="20"/>
              </w:rPr>
              <w:t>финансовой грамотности населения</w:t>
            </w:r>
          </w:p>
        </w:tc>
      </w:tr>
      <w:tr w:rsidR="00C600DB" w:rsidRPr="000B227F" w14:paraId="24836623"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03017D05"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lang w:eastAsia="ru-RU"/>
              </w:rPr>
              <w:t>Принятие потребителями финансовых услуг необдуманных решений при использовании финансовых услуг</w:t>
            </w:r>
          </w:p>
        </w:tc>
        <w:tc>
          <w:tcPr>
            <w:tcW w:w="4961" w:type="dxa"/>
            <w:tcBorders>
              <w:top w:val="single" w:sz="4" w:space="0" w:color="auto"/>
              <w:left w:val="single" w:sz="4" w:space="0" w:color="auto"/>
              <w:bottom w:val="single" w:sz="4" w:space="0" w:color="auto"/>
              <w:right w:val="single" w:sz="4" w:space="0" w:color="auto"/>
            </w:tcBorders>
          </w:tcPr>
          <w:p w14:paraId="6B25E402"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Формирование у потребителей ответственного отношения за принятие собственных финансовых решений</w:t>
            </w:r>
          </w:p>
        </w:tc>
        <w:tc>
          <w:tcPr>
            <w:tcW w:w="3686" w:type="dxa"/>
            <w:tcBorders>
              <w:top w:val="single" w:sz="4" w:space="0" w:color="auto"/>
              <w:left w:val="single" w:sz="4" w:space="0" w:color="auto"/>
              <w:bottom w:val="single" w:sz="4" w:space="0" w:color="auto"/>
              <w:right w:val="single" w:sz="4" w:space="0" w:color="auto"/>
            </w:tcBorders>
          </w:tcPr>
          <w:p w14:paraId="74E8344F" w14:textId="369B6907" w:rsidR="00C600DB" w:rsidRPr="000B227F" w:rsidRDefault="00C600DB" w:rsidP="00724B07">
            <w:pPr>
              <w:autoSpaceDE w:val="0"/>
              <w:autoSpaceDN w:val="0"/>
              <w:adjustRightInd w:val="0"/>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0B2BA5C6" w14:textId="694E48D4"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102A3B2A"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5FF211F2"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Низкая вовлеченность потребителей финансовых услуг в повышении финансовой грамотности</w:t>
            </w:r>
          </w:p>
        </w:tc>
        <w:tc>
          <w:tcPr>
            <w:tcW w:w="4961" w:type="dxa"/>
            <w:tcBorders>
              <w:top w:val="single" w:sz="4" w:space="0" w:color="auto"/>
              <w:left w:val="single" w:sz="4" w:space="0" w:color="auto"/>
              <w:bottom w:val="single" w:sz="4" w:space="0" w:color="auto"/>
              <w:right w:val="single" w:sz="4" w:space="0" w:color="auto"/>
            </w:tcBorders>
          </w:tcPr>
          <w:p w14:paraId="64A76AD2"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Проведение масштабной информационно-разъяснительной работы и популяризация финансовой грамотности</w:t>
            </w:r>
          </w:p>
        </w:tc>
        <w:tc>
          <w:tcPr>
            <w:tcW w:w="3686" w:type="dxa"/>
            <w:tcBorders>
              <w:top w:val="single" w:sz="4" w:space="0" w:color="auto"/>
              <w:left w:val="single" w:sz="4" w:space="0" w:color="auto"/>
              <w:bottom w:val="single" w:sz="4" w:space="0" w:color="auto"/>
              <w:right w:val="single" w:sz="4" w:space="0" w:color="auto"/>
            </w:tcBorders>
          </w:tcPr>
          <w:p w14:paraId="1A4D6F5E" w14:textId="45559C9E" w:rsidR="00C600DB" w:rsidRPr="000B227F" w:rsidRDefault="00C600DB" w:rsidP="00724B07">
            <w:pPr>
              <w:autoSpaceDE w:val="0"/>
              <w:autoSpaceDN w:val="0"/>
              <w:adjustRightInd w:val="0"/>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27B61AAE" w14:textId="7B4CDE27"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7F3B3622"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3F2C6558"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Появление новых инновационных, ранее не существовавших видов финансовых услуг</w:t>
            </w:r>
          </w:p>
        </w:tc>
        <w:tc>
          <w:tcPr>
            <w:tcW w:w="4961" w:type="dxa"/>
            <w:tcBorders>
              <w:top w:val="single" w:sz="4" w:space="0" w:color="auto"/>
              <w:left w:val="single" w:sz="4" w:space="0" w:color="auto"/>
              <w:bottom w:val="single" w:sz="4" w:space="0" w:color="auto"/>
              <w:right w:val="single" w:sz="4" w:space="0" w:color="auto"/>
            </w:tcBorders>
          </w:tcPr>
          <w:p w14:paraId="2538A575"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Системный мониторинг финансовых продуктов, расширение возможностей информирования, консультирования и поддержки потребителей финансовых услуг</w:t>
            </w:r>
          </w:p>
        </w:tc>
        <w:tc>
          <w:tcPr>
            <w:tcW w:w="3686" w:type="dxa"/>
            <w:tcBorders>
              <w:top w:val="single" w:sz="4" w:space="0" w:color="auto"/>
              <w:left w:val="single" w:sz="4" w:space="0" w:color="auto"/>
              <w:bottom w:val="single" w:sz="4" w:space="0" w:color="auto"/>
              <w:right w:val="single" w:sz="4" w:space="0" w:color="auto"/>
            </w:tcBorders>
          </w:tcPr>
          <w:p w14:paraId="56335307" w14:textId="08BA7F80" w:rsidR="00C600DB" w:rsidRPr="000B227F" w:rsidRDefault="00C600DB" w:rsidP="00724B07">
            <w:pPr>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0A050FC9" w14:textId="4EF38902"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565523D2"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1D98A553"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Введение невыгодных для потребителя продуктов ввиду их высокой стоимости</w:t>
            </w:r>
          </w:p>
        </w:tc>
        <w:tc>
          <w:tcPr>
            <w:tcW w:w="4961" w:type="dxa"/>
            <w:tcBorders>
              <w:top w:val="single" w:sz="4" w:space="0" w:color="auto"/>
              <w:left w:val="single" w:sz="4" w:space="0" w:color="auto"/>
              <w:bottom w:val="single" w:sz="4" w:space="0" w:color="auto"/>
              <w:right w:val="single" w:sz="4" w:space="0" w:color="auto"/>
            </w:tcBorders>
          </w:tcPr>
          <w:p w14:paraId="040B1515"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Рыночное регулирование тарифной политики и предоставление услуг в цифровом формате</w:t>
            </w:r>
          </w:p>
        </w:tc>
        <w:tc>
          <w:tcPr>
            <w:tcW w:w="3686" w:type="dxa"/>
            <w:tcBorders>
              <w:top w:val="single" w:sz="4" w:space="0" w:color="auto"/>
              <w:left w:val="single" w:sz="4" w:space="0" w:color="auto"/>
              <w:bottom w:val="single" w:sz="4" w:space="0" w:color="auto"/>
              <w:right w:val="single" w:sz="4" w:space="0" w:color="auto"/>
            </w:tcBorders>
          </w:tcPr>
          <w:p w14:paraId="479E89F5" w14:textId="23973518" w:rsidR="00C600DB" w:rsidRPr="000B227F" w:rsidRDefault="00C600DB" w:rsidP="00724B07">
            <w:pPr>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См. аналитическую записку</w:t>
            </w:r>
            <w:r w:rsidRPr="000B227F" w:rsidDel="00C600DB">
              <w:rPr>
                <w:rFonts w:ascii="Times New Roman" w:hAnsi="Times New Roman" w:cs="Times New Roman"/>
                <w:i/>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281F5D90" w14:textId="77777777"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4E96EDB4" w14:textId="77777777" w:rsidTr="00724B07">
        <w:trPr>
          <w:trHeight w:val="291"/>
        </w:trPr>
        <w:tc>
          <w:tcPr>
            <w:tcW w:w="15196" w:type="dxa"/>
            <w:gridSpan w:val="4"/>
            <w:tcBorders>
              <w:top w:val="single" w:sz="4" w:space="0" w:color="auto"/>
              <w:left w:val="single" w:sz="4" w:space="0" w:color="auto"/>
              <w:bottom w:val="single" w:sz="4" w:space="0" w:color="auto"/>
              <w:right w:val="single" w:sz="4" w:space="0" w:color="auto"/>
            </w:tcBorders>
          </w:tcPr>
          <w:p w14:paraId="1B4C0635"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4. Конкуренция</w:t>
            </w:r>
          </w:p>
        </w:tc>
      </w:tr>
      <w:tr w:rsidR="00C600DB" w:rsidRPr="000B227F" w14:paraId="575DF956"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0F29F30D"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4. Активизация страхового рынка</w:t>
            </w:r>
          </w:p>
        </w:tc>
      </w:tr>
      <w:tr w:rsidR="00C600DB" w:rsidRPr="000B227F" w14:paraId="3F59D398"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4B333A3F" w14:textId="77777777" w:rsidR="00C600DB" w:rsidRPr="000B227F" w:rsidRDefault="00C600DB" w:rsidP="00C600DB">
            <w:pPr>
              <w:spacing w:after="0"/>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Наличие недобросовестных практик на финансовом рынке</w:t>
            </w:r>
          </w:p>
        </w:tc>
        <w:tc>
          <w:tcPr>
            <w:tcW w:w="4961" w:type="dxa"/>
            <w:tcBorders>
              <w:top w:val="single" w:sz="4" w:space="0" w:color="auto"/>
              <w:left w:val="single" w:sz="4" w:space="0" w:color="auto"/>
              <w:bottom w:val="single" w:sz="4" w:space="0" w:color="auto"/>
              <w:right w:val="single" w:sz="4" w:space="0" w:color="auto"/>
            </w:tcBorders>
          </w:tcPr>
          <w:p w14:paraId="074E7335" w14:textId="509AC95F" w:rsidR="00724B07" w:rsidRPr="000B227F" w:rsidRDefault="00C600DB" w:rsidP="00724B07">
            <w:pPr>
              <w:tabs>
                <w:tab w:val="left" w:pos="524"/>
              </w:tabs>
              <w:spacing w:after="0"/>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Введение принципов добросовестного поведения поставщиков финансовых услуг, противодействие незаконной и безлицензионной деятельности на финансовом рынке</w:t>
            </w:r>
          </w:p>
        </w:tc>
        <w:tc>
          <w:tcPr>
            <w:tcW w:w="3686" w:type="dxa"/>
            <w:tcBorders>
              <w:top w:val="single" w:sz="4" w:space="0" w:color="auto"/>
              <w:left w:val="single" w:sz="4" w:space="0" w:color="auto"/>
              <w:bottom w:val="single" w:sz="4" w:space="0" w:color="auto"/>
              <w:right w:val="single" w:sz="4" w:space="0" w:color="auto"/>
            </w:tcBorders>
          </w:tcPr>
          <w:p w14:paraId="4542CD22" w14:textId="57ECDA94" w:rsidR="00C600DB" w:rsidRPr="000B227F" w:rsidRDefault="00C600DB" w:rsidP="00724B07">
            <w:pPr>
              <w:pStyle w:val="a3"/>
              <w:tabs>
                <w:tab w:val="left" w:pos="475"/>
                <w:tab w:val="left" w:pos="636"/>
              </w:tabs>
              <w:spacing w:before="0" w:beforeAutospacing="0" w:after="0" w:afterAutospacing="0"/>
              <w:jc w:val="both"/>
            </w:pPr>
            <w:r w:rsidRPr="000B227F">
              <w:t>См. аналитическую записку</w:t>
            </w:r>
            <w:r w:rsidRPr="000B227F" w:rsidDel="00C600DB">
              <w:rPr>
                <w:i/>
              </w:rPr>
              <w:t xml:space="preserve"> </w:t>
            </w:r>
          </w:p>
        </w:tc>
        <w:tc>
          <w:tcPr>
            <w:tcW w:w="2126" w:type="dxa"/>
            <w:tcBorders>
              <w:top w:val="single" w:sz="4" w:space="0" w:color="auto"/>
              <w:left w:val="single" w:sz="4" w:space="0" w:color="auto"/>
              <w:bottom w:val="single" w:sz="4" w:space="0" w:color="auto"/>
              <w:right w:val="single" w:sz="4" w:space="0" w:color="auto"/>
            </w:tcBorders>
          </w:tcPr>
          <w:p w14:paraId="2EC464C0" w14:textId="77777777" w:rsidR="00C600DB" w:rsidRPr="000B227F" w:rsidRDefault="00C600DB" w:rsidP="00724B07">
            <w:pPr>
              <w:spacing w:after="0" w:line="240" w:lineRule="auto"/>
              <w:jc w:val="center"/>
              <w:rPr>
                <w:rFonts w:ascii="Times New Roman" w:hAnsi="Times New Roman" w:cs="Times New Roman"/>
                <w:sz w:val="24"/>
                <w:szCs w:val="24"/>
                <w:highlight w:val="yellow"/>
              </w:rPr>
            </w:pPr>
            <w:r w:rsidRPr="000B227F">
              <w:rPr>
                <w:rFonts w:ascii="Times New Roman" w:hAnsi="Times New Roman" w:cs="Times New Roman"/>
                <w:sz w:val="24"/>
                <w:szCs w:val="24"/>
              </w:rPr>
              <w:t>На исполнении</w:t>
            </w:r>
          </w:p>
        </w:tc>
      </w:tr>
      <w:tr w:rsidR="00C600DB" w:rsidRPr="000B227F" w14:paraId="3D81AA1F"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741750BF"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lastRenderedPageBreak/>
              <w:t xml:space="preserve">Стратегическое направление 5. Применение новых технологий на финансовом рынке, </w:t>
            </w:r>
            <w:proofErr w:type="spellStart"/>
            <w:r w:rsidRPr="000B227F">
              <w:rPr>
                <w:rFonts w:ascii="Times New Roman" w:hAnsi="Times New Roman" w:cs="Times New Roman"/>
                <w:b/>
                <w:sz w:val="24"/>
                <w:szCs w:val="24"/>
              </w:rPr>
              <w:t>цифровизация</w:t>
            </w:r>
            <w:proofErr w:type="spellEnd"/>
            <w:r w:rsidRPr="000B227F">
              <w:rPr>
                <w:rFonts w:ascii="Times New Roman" w:hAnsi="Times New Roman" w:cs="Times New Roman"/>
                <w:b/>
                <w:sz w:val="24"/>
                <w:szCs w:val="24"/>
              </w:rPr>
              <w:t xml:space="preserve"> финансовых услуг</w:t>
            </w:r>
          </w:p>
        </w:tc>
      </w:tr>
      <w:tr w:rsidR="00C600DB" w:rsidRPr="000B227F" w14:paraId="61E47327"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32682F1E"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 xml:space="preserve">Цель 5. Упрощение процедур идентификации клиентов </w:t>
            </w:r>
          </w:p>
        </w:tc>
      </w:tr>
      <w:tr w:rsidR="00C600DB" w:rsidRPr="000B227F" w14:paraId="097C364D"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14229688" w14:textId="77777777" w:rsidR="00C600DB" w:rsidRPr="000B227F" w:rsidDel="00C91D5A"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Несоответствие скорости появления и внедрения финансовых инноваций скорости процедур изменения регуляторной среды</w:t>
            </w:r>
          </w:p>
        </w:tc>
        <w:tc>
          <w:tcPr>
            <w:tcW w:w="4961" w:type="dxa"/>
            <w:tcBorders>
              <w:top w:val="single" w:sz="4" w:space="0" w:color="auto"/>
              <w:left w:val="single" w:sz="4" w:space="0" w:color="auto"/>
              <w:bottom w:val="single" w:sz="4" w:space="0" w:color="auto"/>
              <w:right w:val="single" w:sz="4" w:space="0" w:color="auto"/>
            </w:tcBorders>
          </w:tcPr>
          <w:p w14:paraId="0DF5A073" w14:textId="77777777" w:rsidR="00C600DB" w:rsidRPr="000B227F" w:rsidDel="00C91D5A"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Ранжирование финансовых инноваций по степени угроз, планирование и расставление приоритетов по изменению регуляторной среды в соответствии с уровнями риска</w:t>
            </w:r>
          </w:p>
        </w:tc>
        <w:tc>
          <w:tcPr>
            <w:tcW w:w="3686" w:type="dxa"/>
            <w:tcBorders>
              <w:top w:val="single" w:sz="4" w:space="0" w:color="auto"/>
              <w:left w:val="single" w:sz="4" w:space="0" w:color="auto"/>
              <w:bottom w:val="single" w:sz="4" w:space="0" w:color="auto"/>
              <w:right w:val="single" w:sz="4" w:space="0" w:color="auto"/>
            </w:tcBorders>
          </w:tcPr>
          <w:p w14:paraId="73F45EB6" w14:textId="013AA884" w:rsidR="00C600DB" w:rsidRPr="000B227F" w:rsidRDefault="00C600DB" w:rsidP="00724B07">
            <w:pPr>
              <w:pStyle w:val="a3"/>
              <w:tabs>
                <w:tab w:val="left" w:pos="475"/>
                <w:tab w:val="left" w:pos="636"/>
              </w:tabs>
              <w:spacing w:before="0" w:beforeAutospacing="0" w:after="0" w:afterAutospacing="0"/>
              <w:jc w:val="both"/>
            </w:pPr>
            <w:r w:rsidRPr="000B227F">
              <w:t>См. аналитическую записку</w:t>
            </w:r>
            <w:r w:rsidRPr="000B227F" w:rsidDel="00C600DB">
              <w:rPr>
                <w:i/>
              </w:rPr>
              <w:t xml:space="preserve"> </w:t>
            </w:r>
          </w:p>
        </w:tc>
        <w:tc>
          <w:tcPr>
            <w:tcW w:w="2126" w:type="dxa"/>
            <w:tcBorders>
              <w:top w:val="single" w:sz="4" w:space="0" w:color="auto"/>
              <w:left w:val="single" w:sz="4" w:space="0" w:color="auto"/>
              <w:bottom w:val="single" w:sz="4" w:space="0" w:color="auto"/>
              <w:right w:val="single" w:sz="4" w:space="0" w:color="auto"/>
            </w:tcBorders>
          </w:tcPr>
          <w:p w14:paraId="00E26CFF" w14:textId="77777777"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На исполнении</w:t>
            </w:r>
          </w:p>
        </w:tc>
      </w:tr>
      <w:tr w:rsidR="00C600DB" w:rsidRPr="000B227F" w14:paraId="4FAA7A6F" w14:textId="77777777" w:rsidTr="00724B07">
        <w:trPr>
          <w:trHeight w:val="906"/>
        </w:trPr>
        <w:tc>
          <w:tcPr>
            <w:tcW w:w="4423" w:type="dxa"/>
            <w:tcBorders>
              <w:top w:val="single" w:sz="4" w:space="0" w:color="auto"/>
              <w:left w:val="single" w:sz="4" w:space="0" w:color="auto"/>
              <w:bottom w:val="single" w:sz="4" w:space="0" w:color="auto"/>
              <w:right w:val="single" w:sz="4" w:space="0" w:color="auto"/>
            </w:tcBorders>
          </w:tcPr>
          <w:p w14:paraId="7D3BDC45" w14:textId="77777777" w:rsidR="00C600DB" w:rsidRPr="000B227F" w:rsidDel="00C91D5A"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Правовая неопределенность при внедрении новых  финансовых технологий</w:t>
            </w:r>
          </w:p>
        </w:tc>
        <w:tc>
          <w:tcPr>
            <w:tcW w:w="4961" w:type="dxa"/>
            <w:tcBorders>
              <w:top w:val="single" w:sz="4" w:space="0" w:color="auto"/>
              <w:left w:val="single" w:sz="4" w:space="0" w:color="auto"/>
              <w:bottom w:val="single" w:sz="4" w:space="0" w:color="auto"/>
              <w:right w:val="single" w:sz="4" w:space="0" w:color="auto"/>
            </w:tcBorders>
          </w:tcPr>
          <w:p w14:paraId="7C7E4686" w14:textId="77777777" w:rsidR="00C600DB" w:rsidRPr="000B227F" w:rsidDel="00C91D5A"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Использование механизма «регуляторной песочницы»</w:t>
            </w:r>
          </w:p>
        </w:tc>
        <w:tc>
          <w:tcPr>
            <w:tcW w:w="3686" w:type="dxa"/>
            <w:tcBorders>
              <w:top w:val="single" w:sz="4" w:space="0" w:color="auto"/>
              <w:left w:val="single" w:sz="4" w:space="0" w:color="auto"/>
              <w:bottom w:val="single" w:sz="4" w:space="0" w:color="auto"/>
              <w:right w:val="single" w:sz="4" w:space="0" w:color="auto"/>
            </w:tcBorders>
          </w:tcPr>
          <w:p w14:paraId="36E98C6F" w14:textId="4080EA1A" w:rsidR="00C600DB" w:rsidRPr="000B227F" w:rsidRDefault="00C600DB" w:rsidP="00C600DB">
            <w:pPr>
              <w:pStyle w:val="a3"/>
              <w:pBdr>
                <w:bottom w:val="single" w:sz="4" w:space="29" w:color="FFFFFF"/>
              </w:pBdr>
              <w:tabs>
                <w:tab w:val="left" w:pos="475"/>
                <w:tab w:val="left" w:pos="636"/>
              </w:tabs>
              <w:spacing w:before="0" w:beforeAutospacing="0" w:after="0" w:afterAutospacing="0"/>
              <w:ind w:firstLine="312"/>
              <w:jc w:val="both"/>
            </w:pPr>
            <w:r w:rsidRPr="000B227F">
              <w:t>См. аналитическую записку</w:t>
            </w:r>
            <w:r w:rsidRPr="000B227F" w:rsidDel="00C600DB">
              <w:rPr>
                <w:i/>
              </w:rPr>
              <w:t xml:space="preserve"> </w:t>
            </w:r>
          </w:p>
        </w:tc>
        <w:tc>
          <w:tcPr>
            <w:tcW w:w="2126" w:type="dxa"/>
            <w:tcBorders>
              <w:top w:val="single" w:sz="4" w:space="0" w:color="auto"/>
              <w:left w:val="single" w:sz="4" w:space="0" w:color="auto"/>
              <w:bottom w:val="single" w:sz="4" w:space="0" w:color="auto"/>
              <w:right w:val="single" w:sz="4" w:space="0" w:color="auto"/>
            </w:tcBorders>
          </w:tcPr>
          <w:p w14:paraId="38BD426F" w14:textId="77777777"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На исполнении</w:t>
            </w:r>
          </w:p>
        </w:tc>
      </w:tr>
      <w:tr w:rsidR="00C600DB" w:rsidRPr="000B227F" w14:paraId="44EBE99E"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5A27D38F"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6. Развитие системы микрофинансирования</w:t>
            </w:r>
          </w:p>
        </w:tc>
      </w:tr>
      <w:tr w:rsidR="00C600DB" w:rsidRPr="000B227F" w14:paraId="0419A106"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296E35FB"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 xml:space="preserve">Цель 6. Совершенствование регулирования </w:t>
            </w:r>
            <w:r w:rsidRPr="000B227F">
              <w:rPr>
                <w:rFonts w:ascii="Times New Roman" w:hAnsi="Times New Roman" w:cs="Times New Roman"/>
                <w:b/>
                <w:bCs/>
                <w:iCs/>
                <w:sz w:val="24"/>
                <w:szCs w:val="24"/>
              </w:rPr>
              <w:t xml:space="preserve">организаций, осуществляющих </w:t>
            </w:r>
            <w:proofErr w:type="spellStart"/>
            <w:r w:rsidRPr="000B227F">
              <w:rPr>
                <w:rFonts w:ascii="Times New Roman" w:hAnsi="Times New Roman" w:cs="Times New Roman"/>
                <w:b/>
                <w:bCs/>
                <w:iCs/>
                <w:sz w:val="24"/>
                <w:szCs w:val="24"/>
              </w:rPr>
              <w:t>микрофинансовую</w:t>
            </w:r>
            <w:proofErr w:type="spellEnd"/>
            <w:r w:rsidRPr="000B227F">
              <w:rPr>
                <w:rFonts w:ascii="Times New Roman" w:hAnsi="Times New Roman" w:cs="Times New Roman"/>
                <w:b/>
                <w:bCs/>
                <w:iCs/>
                <w:sz w:val="24"/>
                <w:szCs w:val="24"/>
              </w:rPr>
              <w:t xml:space="preserve"> деятельность</w:t>
            </w:r>
          </w:p>
        </w:tc>
      </w:tr>
      <w:tr w:rsidR="00C600DB" w:rsidRPr="000B227F" w14:paraId="03772F41"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02292A36" w14:textId="77777777" w:rsidR="00C600DB" w:rsidRPr="000B227F" w:rsidRDefault="00C600DB" w:rsidP="00C600DB">
            <w:pPr>
              <w:rPr>
                <w:rFonts w:ascii="Times New Roman" w:eastAsia="Times New Roman" w:hAnsi="Times New Roman" w:cs="Times New Roman"/>
                <w:iCs/>
                <w:sz w:val="24"/>
                <w:szCs w:val="24"/>
                <w:lang w:eastAsia="ar-SA"/>
              </w:rPr>
            </w:pPr>
            <w:r w:rsidRPr="000B227F">
              <w:rPr>
                <w:rFonts w:ascii="Times New Roman" w:hAnsi="Times New Roman" w:cs="Times New Roman"/>
                <w:sz w:val="24"/>
                <w:szCs w:val="24"/>
              </w:rPr>
              <w:t xml:space="preserve">Формирование «теневого рынка» кредитования, из числа нерегулируемых организаций, не прошедших </w:t>
            </w:r>
            <w:r w:rsidRPr="000B227F">
              <w:rPr>
                <w:rFonts w:ascii="Times New Roman" w:eastAsia="Times New Roman" w:hAnsi="Times New Roman" w:cs="Times New Roman"/>
                <w:iCs/>
                <w:sz w:val="24"/>
                <w:szCs w:val="24"/>
                <w:lang w:eastAsia="ar-SA"/>
              </w:rPr>
              <w:t xml:space="preserve">государственную перерегистрацию в качестве </w:t>
            </w:r>
            <w:proofErr w:type="spellStart"/>
            <w:r w:rsidRPr="000B227F">
              <w:rPr>
                <w:rFonts w:ascii="Times New Roman" w:eastAsia="Times New Roman" w:hAnsi="Times New Roman" w:cs="Times New Roman"/>
                <w:iCs/>
                <w:sz w:val="24"/>
                <w:szCs w:val="24"/>
                <w:lang w:eastAsia="ar-SA"/>
              </w:rPr>
              <w:t>микрофинансовой</w:t>
            </w:r>
            <w:proofErr w:type="spellEnd"/>
            <w:r w:rsidRPr="000B227F">
              <w:rPr>
                <w:rFonts w:ascii="Times New Roman" w:eastAsia="Times New Roman" w:hAnsi="Times New Roman" w:cs="Times New Roman"/>
                <w:iCs/>
                <w:sz w:val="24"/>
                <w:szCs w:val="24"/>
                <w:lang w:eastAsia="ar-SA"/>
              </w:rPr>
              <w:t xml:space="preserve"> организации, кредитного товарищества, ломбарда, а также учетную регистрацию в уполномоченном органе</w:t>
            </w:r>
          </w:p>
          <w:p w14:paraId="63FA6F63" w14:textId="77777777" w:rsidR="00724B07" w:rsidRPr="000B227F" w:rsidRDefault="00724B07" w:rsidP="00C600DB">
            <w:pPr>
              <w:rPr>
                <w:rFonts w:ascii="Times New Roman" w:eastAsia="Times New Roman" w:hAnsi="Times New Roman" w:cs="Times New Roman"/>
                <w:iCs/>
                <w:sz w:val="24"/>
                <w:szCs w:val="24"/>
                <w:lang w:eastAsia="ar-SA"/>
              </w:rPr>
            </w:pPr>
          </w:p>
          <w:p w14:paraId="139914C6" w14:textId="77777777" w:rsidR="00724B07" w:rsidRPr="000B227F" w:rsidRDefault="00724B07" w:rsidP="00C600DB">
            <w:pPr>
              <w:rPr>
                <w:rFonts w:ascii="Times New Roman" w:eastAsia="Times New Roman" w:hAnsi="Times New Roman" w:cs="Times New Roman"/>
                <w:iCs/>
                <w:sz w:val="24"/>
                <w:szCs w:val="24"/>
                <w:lang w:eastAsia="ar-SA"/>
              </w:rPr>
            </w:pPr>
          </w:p>
          <w:p w14:paraId="6FEF19D0" w14:textId="77777777" w:rsidR="00724B07" w:rsidRPr="000B227F" w:rsidRDefault="00724B07" w:rsidP="00C600DB">
            <w:pPr>
              <w:rPr>
                <w:rFonts w:ascii="Times New Roman" w:eastAsia="Times New Roman" w:hAnsi="Times New Roman" w:cs="Times New Roman"/>
                <w:iCs/>
                <w:sz w:val="24"/>
                <w:szCs w:val="24"/>
                <w:lang w:eastAsia="ar-SA"/>
              </w:rPr>
            </w:pPr>
          </w:p>
          <w:p w14:paraId="6643178D" w14:textId="609C86E0" w:rsidR="00724B07" w:rsidRPr="000B227F" w:rsidRDefault="00724B07" w:rsidP="00C600DB">
            <w:pP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6EB7B27" w14:textId="77777777" w:rsidR="00C600DB" w:rsidRPr="000B227F" w:rsidRDefault="00C600DB" w:rsidP="00C600DB">
            <w:pPr>
              <w:tabs>
                <w:tab w:val="left" w:pos="524"/>
              </w:tabs>
              <w:rPr>
                <w:rFonts w:ascii="Times New Roman" w:hAnsi="Times New Roman" w:cs="Times New Roman"/>
                <w:sz w:val="24"/>
                <w:szCs w:val="24"/>
              </w:rPr>
            </w:pPr>
            <w:r w:rsidRPr="000B227F">
              <w:rPr>
                <w:rFonts w:ascii="Times New Roman" w:hAnsi="Times New Roman" w:cs="Times New Roman"/>
                <w:sz w:val="24"/>
                <w:szCs w:val="24"/>
              </w:rPr>
              <w:t xml:space="preserve">Принятие мер для выявления и пресечения деятельности «теневого рынка» кредитования </w:t>
            </w:r>
          </w:p>
        </w:tc>
        <w:tc>
          <w:tcPr>
            <w:tcW w:w="3686" w:type="dxa"/>
            <w:tcBorders>
              <w:top w:val="single" w:sz="4" w:space="0" w:color="auto"/>
              <w:left w:val="single" w:sz="4" w:space="0" w:color="auto"/>
              <w:bottom w:val="single" w:sz="4" w:space="0" w:color="auto"/>
              <w:right w:val="single" w:sz="4" w:space="0" w:color="auto"/>
            </w:tcBorders>
          </w:tcPr>
          <w:p w14:paraId="2AA0B7E8" w14:textId="10A403CE" w:rsidR="00C600DB" w:rsidRPr="000B227F" w:rsidRDefault="00C600DB" w:rsidP="00724B07">
            <w:pPr>
              <w:pStyle w:val="a3"/>
              <w:tabs>
                <w:tab w:val="left" w:pos="475"/>
                <w:tab w:val="left" w:pos="636"/>
              </w:tabs>
              <w:spacing w:before="0" w:beforeAutospacing="0" w:after="0" w:afterAutospacing="0"/>
              <w:jc w:val="both"/>
            </w:pPr>
            <w:r w:rsidRPr="000B227F">
              <w:t>См. аналитическую записку</w:t>
            </w:r>
          </w:p>
        </w:tc>
        <w:tc>
          <w:tcPr>
            <w:tcW w:w="2126" w:type="dxa"/>
            <w:tcBorders>
              <w:top w:val="single" w:sz="4" w:space="0" w:color="auto"/>
              <w:left w:val="single" w:sz="4" w:space="0" w:color="auto"/>
              <w:bottom w:val="single" w:sz="4" w:space="0" w:color="auto"/>
              <w:right w:val="single" w:sz="4" w:space="0" w:color="auto"/>
            </w:tcBorders>
          </w:tcPr>
          <w:p w14:paraId="72BC00D7" w14:textId="6FDC01E4" w:rsidR="00C600DB" w:rsidRPr="000B227F" w:rsidRDefault="00C600DB" w:rsidP="00724B07">
            <w:pPr>
              <w:pStyle w:val="a3"/>
              <w:spacing w:before="0" w:beforeAutospacing="0" w:after="0" w:afterAutospacing="0" w:line="276" w:lineRule="auto"/>
              <w:jc w:val="center"/>
            </w:pPr>
            <w:r w:rsidRPr="000B227F">
              <w:t>Исполнено</w:t>
            </w:r>
          </w:p>
          <w:p w14:paraId="317935D6" w14:textId="77777777" w:rsidR="00C600DB" w:rsidRPr="000B227F" w:rsidRDefault="00C600DB" w:rsidP="00C600DB">
            <w:pPr>
              <w:pStyle w:val="a3"/>
              <w:spacing w:before="0" w:beforeAutospacing="0" w:after="0" w:afterAutospacing="0" w:line="276" w:lineRule="auto"/>
              <w:ind w:firstLine="314"/>
              <w:jc w:val="both"/>
            </w:pPr>
          </w:p>
          <w:p w14:paraId="121324CB" w14:textId="77777777" w:rsidR="00C600DB" w:rsidRPr="000B227F" w:rsidRDefault="00C600DB" w:rsidP="00C600DB">
            <w:pPr>
              <w:spacing w:after="0" w:line="240" w:lineRule="auto"/>
              <w:jc w:val="both"/>
              <w:rPr>
                <w:rFonts w:ascii="Times New Roman" w:hAnsi="Times New Roman" w:cs="Times New Roman"/>
                <w:sz w:val="24"/>
                <w:szCs w:val="24"/>
              </w:rPr>
            </w:pPr>
          </w:p>
        </w:tc>
      </w:tr>
      <w:tr w:rsidR="00C600DB" w:rsidRPr="000B227F" w14:paraId="0F2FED6D"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0E5C8A3D"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lastRenderedPageBreak/>
              <w:t xml:space="preserve">Стратегическое направление 7. </w:t>
            </w:r>
            <w:proofErr w:type="spellStart"/>
            <w:r w:rsidRPr="000B227F">
              <w:rPr>
                <w:rFonts w:ascii="Times New Roman" w:hAnsi="Times New Roman" w:cs="Times New Roman"/>
                <w:b/>
                <w:sz w:val="24"/>
                <w:szCs w:val="24"/>
              </w:rPr>
              <w:t>Кибербезопасность</w:t>
            </w:r>
            <w:proofErr w:type="spellEnd"/>
          </w:p>
        </w:tc>
      </w:tr>
      <w:tr w:rsidR="00C600DB" w:rsidRPr="000B227F" w14:paraId="669478AD"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3CB428F8" w14:textId="77777777" w:rsidR="00C600DB" w:rsidRPr="000B227F" w:rsidRDefault="00C600DB" w:rsidP="00C600DB">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7. Совершенствование взаимодействия в области информационной безопасности в глобальном масштабе</w:t>
            </w:r>
          </w:p>
        </w:tc>
      </w:tr>
      <w:tr w:rsidR="00C600DB" w:rsidRPr="000B227F" w14:paraId="4DE8B173"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68E662BB"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Несоответствие организационной структуры задачам, стоящим перед подразделением</w:t>
            </w:r>
          </w:p>
        </w:tc>
        <w:tc>
          <w:tcPr>
            <w:tcW w:w="4961" w:type="dxa"/>
            <w:tcBorders>
              <w:top w:val="single" w:sz="4" w:space="0" w:color="auto"/>
              <w:left w:val="single" w:sz="4" w:space="0" w:color="auto"/>
              <w:bottom w:val="single" w:sz="4" w:space="0" w:color="auto"/>
              <w:right w:val="single" w:sz="4" w:space="0" w:color="auto"/>
            </w:tcBorders>
          </w:tcPr>
          <w:p w14:paraId="696690A0"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Ежегодный пересмотр организационной структуры направления ИБ</w:t>
            </w:r>
          </w:p>
        </w:tc>
        <w:tc>
          <w:tcPr>
            <w:tcW w:w="3686" w:type="dxa"/>
            <w:tcBorders>
              <w:top w:val="single" w:sz="4" w:space="0" w:color="auto"/>
              <w:left w:val="single" w:sz="4" w:space="0" w:color="auto"/>
              <w:bottom w:val="single" w:sz="4" w:space="0" w:color="auto"/>
              <w:right w:val="single" w:sz="4" w:space="0" w:color="auto"/>
            </w:tcBorders>
          </w:tcPr>
          <w:p w14:paraId="695CBBC3" w14:textId="21807600" w:rsidR="00C600DB" w:rsidRPr="000B227F" w:rsidRDefault="00C600DB" w:rsidP="00C600DB">
            <w:pPr>
              <w:pStyle w:val="a3"/>
              <w:spacing w:before="0" w:beforeAutospacing="0" w:after="0" w:afterAutospacing="0"/>
              <w:jc w:val="both"/>
            </w:pPr>
            <w:r w:rsidRPr="000B227F">
              <w:t>См. аналитическую записку</w:t>
            </w:r>
            <w:r w:rsidRPr="000B227F" w:rsidDel="00C600DB">
              <w:rPr>
                <w:i/>
              </w:rPr>
              <w:t xml:space="preserve"> </w:t>
            </w:r>
          </w:p>
        </w:tc>
        <w:tc>
          <w:tcPr>
            <w:tcW w:w="2126" w:type="dxa"/>
            <w:tcBorders>
              <w:top w:val="single" w:sz="4" w:space="0" w:color="auto"/>
              <w:left w:val="single" w:sz="4" w:space="0" w:color="auto"/>
              <w:bottom w:val="single" w:sz="4" w:space="0" w:color="auto"/>
              <w:right w:val="single" w:sz="4" w:space="0" w:color="auto"/>
            </w:tcBorders>
          </w:tcPr>
          <w:p w14:paraId="259C2A24" w14:textId="77777777"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На исполнении</w:t>
            </w:r>
          </w:p>
          <w:p w14:paraId="73097C0B" w14:textId="77777777" w:rsidR="00C600DB" w:rsidRPr="000B227F" w:rsidRDefault="00C600DB" w:rsidP="00724B07">
            <w:pPr>
              <w:spacing w:after="0" w:line="240" w:lineRule="auto"/>
              <w:jc w:val="center"/>
              <w:rPr>
                <w:rFonts w:ascii="Times New Roman" w:hAnsi="Times New Roman" w:cs="Times New Roman"/>
                <w:sz w:val="24"/>
                <w:szCs w:val="24"/>
              </w:rPr>
            </w:pPr>
          </w:p>
        </w:tc>
      </w:tr>
      <w:tr w:rsidR="00C600DB" w:rsidRPr="000B227F" w14:paraId="24F57C66"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72EC6191"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Недостаточность активов для достижения поставленных целей</w:t>
            </w:r>
          </w:p>
        </w:tc>
        <w:tc>
          <w:tcPr>
            <w:tcW w:w="4961" w:type="dxa"/>
            <w:tcBorders>
              <w:top w:val="single" w:sz="4" w:space="0" w:color="auto"/>
              <w:left w:val="single" w:sz="4" w:space="0" w:color="auto"/>
              <w:bottom w:val="single" w:sz="4" w:space="0" w:color="auto"/>
              <w:right w:val="single" w:sz="4" w:space="0" w:color="auto"/>
            </w:tcBorders>
          </w:tcPr>
          <w:p w14:paraId="7167DAE1"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Инициатива по выделению достаточных средств на приобретение технологий, знаний, организацию внешних связей и мотивацию персонала</w:t>
            </w:r>
          </w:p>
        </w:tc>
        <w:tc>
          <w:tcPr>
            <w:tcW w:w="3686" w:type="dxa"/>
            <w:tcBorders>
              <w:top w:val="single" w:sz="4" w:space="0" w:color="auto"/>
              <w:left w:val="single" w:sz="4" w:space="0" w:color="auto"/>
              <w:bottom w:val="single" w:sz="4" w:space="0" w:color="auto"/>
              <w:right w:val="single" w:sz="4" w:space="0" w:color="auto"/>
            </w:tcBorders>
          </w:tcPr>
          <w:p w14:paraId="3844D676" w14:textId="03EEFCF7" w:rsidR="00C600DB" w:rsidRPr="000B227F" w:rsidRDefault="00C600DB" w:rsidP="00C600DB">
            <w:pPr>
              <w:pStyle w:val="a3"/>
              <w:spacing w:before="0" w:beforeAutospacing="0" w:after="0" w:afterAutospacing="0"/>
              <w:jc w:val="both"/>
            </w:pPr>
            <w:r w:rsidRPr="000B227F">
              <w:t>См. аналитическую записку</w:t>
            </w:r>
            <w:r w:rsidRPr="000B227F" w:rsidDel="00C600DB">
              <w:rPr>
                <w:i/>
              </w:rPr>
              <w:t xml:space="preserve"> </w:t>
            </w:r>
          </w:p>
        </w:tc>
        <w:tc>
          <w:tcPr>
            <w:tcW w:w="2126" w:type="dxa"/>
            <w:tcBorders>
              <w:top w:val="single" w:sz="4" w:space="0" w:color="auto"/>
              <w:left w:val="single" w:sz="4" w:space="0" w:color="auto"/>
              <w:bottom w:val="single" w:sz="4" w:space="0" w:color="auto"/>
              <w:right w:val="single" w:sz="4" w:space="0" w:color="auto"/>
            </w:tcBorders>
          </w:tcPr>
          <w:p w14:paraId="43E435EC" w14:textId="664184CE"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7C45C0B5"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78B20A7A" w14:textId="77777777" w:rsidR="00C600DB" w:rsidRPr="000B227F" w:rsidRDefault="00C600DB" w:rsidP="00C600DB">
            <w:pPr>
              <w:tabs>
                <w:tab w:val="left" w:pos="34"/>
              </w:tabs>
              <w:rPr>
                <w:rFonts w:ascii="Times New Roman" w:hAnsi="Times New Roman" w:cs="Times New Roman"/>
                <w:sz w:val="24"/>
                <w:szCs w:val="24"/>
              </w:rPr>
            </w:pPr>
            <w:r w:rsidRPr="000B227F">
              <w:rPr>
                <w:rFonts w:ascii="Times New Roman" w:hAnsi="Times New Roman" w:cs="Times New Roman"/>
                <w:sz w:val="24"/>
                <w:szCs w:val="24"/>
              </w:rPr>
              <w:t>Недостаточная скорость исполнения задач, обусловленная внешними факторами</w:t>
            </w:r>
          </w:p>
        </w:tc>
        <w:tc>
          <w:tcPr>
            <w:tcW w:w="4961" w:type="dxa"/>
            <w:tcBorders>
              <w:top w:val="single" w:sz="4" w:space="0" w:color="auto"/>
              <w:left w:val="single" w:sz="4" w:space="0" w:color="auto"/>
              <w:bottom w:val="single" w:sz="4" w:space="0" w:color="auto"/>
              <w:right w:val="single" w:sz="4" w:space="0" w:color="auto"/>
            </w:tcBorders>
          </w:tcPr>
          <w:p w14:paraId="6148D7B7" w14:textId="77777777" w:rsidR="00C600DB" w:rsidRPr="000B227F" w:rsidRDefault="00C600DB" w:rsidP="00C600DB">
            <w:pPr>
              <w:tabs>
                <w:tab w:val="left" w:pos="34"/>
                <w:tab w:val="left" w:pos="346"/>
              </w:tabs>
              <w:contextualSpacing/>
              <w:rPr>
                <w:rFonts w:ascii="Times New Roman" w:hAnsi="Times New Roman" w:cs="Times New Roman"/>
                <w:sz w:val="24"/>
                <w:szCs w:val="24"/>
              </w:rPr>
            </w:pPr>
            <w:r w:rsidRPr="000B227F">
              <w:rPr>
                <w:rFonts w:ascii="Times New Roman" w:hAnsi="Times New Roman" w:cs="Times New Roman"/>
                <w:sz w:val="24"/>
                <w:szCs w:val="24"/>
              </w:rPr>
              <w:t>Поиск решений по повышению скорости утверждения норм. Например, переход к регулированию через стандарты финансовых организаций</w:t>
            </w:r>
          </w:p>
        </w:tc>
        <w:tc>
          <w:tcPr>
            <w:tcW w:w="3686" w:type="dxa"/>
            <w:tcBorders>
              <w:top w:val="single" w:sz="4" w:space="0" w:color="auto"/>
              <w:left w:val="single" w:sz="4" w:space="0" w:color="auto"/>
              <w:bottom w:val="single" w:sz="4" w:space="0" w:color="auto"/>
              <w:right w:val="single" w:sz="4" w:space="0" w:color="auto"/>
            </w:tcBorders>
          </w:tcPr>
          <w:p w14:paraId="75EC38D9" w14:textId="03EE30DF" w:rsidR="00C600DB" w:rsidRPr="000B227F" w:rsidRDefault="00C600DB" w:rsidP="00C600DB">
            <w:pPr>
              <w:pStyle w:val="a3"/>
              <w:spacing w:before="0" w:beforeAutospacing="0" w:after="0" w:afterAutospacing="0"/>
              <w:jc w:val="both"/>
            </w:pPr>
            <w:r w:rsidRPr="000B227F">
              <w:t>См. аналитическую записку</w:t>
            </w:r>
            <w:r w:rsidRPr="000B227F" w:rsidDel="00C600DB">
              <w:rPr>
                <w:i/>
              </w:rPr>
              <w:t xml:space="preserve"> </w:t>
            </w:r>
          </w:p>
        </w:tc>
        <w:tc>
          <w:tcPr>
            <w:tcW w:w="2126" w:type="dxa"/>
            <w:tcBorders>
              <w:top w:val="single" w:sz="4" w:space="0" w:color="auto"/>
              <w:left w:val="single" w:sz="4" w:space="0" w:color="auto"/>
              <w:bottom w:val="single" w:sz="4" w:space="0" w:color="auto"/>
              <w:right w:val="single" w:sz="4" w:space="0" w:color="auto"/>
            </w:tcBorders>
          </w:tcPr>
          <w:p w14:paraId="024DC330" w14:textId="7A90D223"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3B8169AE"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1AFEC968" w14:textId="77777777" w:rsidR="00C600DB" w:rsidRPr="000B227F" w:rsidRDefault="00C600DB" w:rsidP="00C600DB">
            <w:pPr>
              <w:ind w:left="1056" w:hanging="1056"/>
              <w:jc w:val="center"/>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8. Противодействие отмыванию денег и финансированию терроризма</w:t>
            </w:r>
          </w:p>
        </w:tc>
      </w:tr>
      <w:tr w:rsidR="00C600DB" w:rsidRPr="000B227F" w14:paraId="5B0B1CAD" w14:textId="77777777" w:rsidTr="00724B07">
        <w:trPr>
          <w:trHeight w:val="30"/>
        </w:trPr>
        <w:tc>
          <w:tcPr>
            <w:tcW w:w="15196" w:type="dxa"/>
            <w:gridSpan w:val="4"/>
            <w:tcBorders>
              <w:top w:val="single" w:sz="4" w:space="0" w:color="auto"/>
              <w:left w:val="single" w:sz="4" w:space="0" w:color="auto"/>
              <w:bottom w:val="single" w:sz="4" w:space="0" w:color="auto"/>
              <w:right w:val="single" w:sz="4" w:space="0" w:color="auto"/>
            </w:tcBorders>
          </w:tcPr>
          <w:p w14:paraId="6EC01C50" w14:textId="77777777" w:rsidR="00C600DB" w:rsidRPr="000B227F" w:rsidRDefault="00C600DB" w:rsidP="00C600DB">
            <w:pPr>
              <w:jc w:val="center"/>
              <w:rPr>
                <w:rFonts w:ascii="Times New Roman" w:hAnsi="Times New Roman" w:cs="Times New Roman"/>
                <w:b/>
                <w:sz w:val="24"/>
                <w:szCs w:val="24"/>
              </w:rPr>
            </w:pPr>
            <w:r w:rsidRPr="000B227F">
              <w:rPr>
                <w:rFonts w:ascii="Times New Roman" w:hAnsi="Times New Roman" w:cs="Times New Roman"/>
                <w:b/>
                <w:sz w:val="24"/>
                <w:szCs w:val="24"/>
              </w:rPr>
              <w:t>Цель 8. Снижение уровня риска отмывания денег и финансирования терроризма в финансовом секторе</w:t>
            </w:r>
          </w:p>
        </w:tc>
      </w:tr>
      <w:tr w:rsidR="00C600DB" w:rsidRPr="000B227F" w14:paraId="0261D110" w14:textId="77777777" w:rsidTr="00724B07">
        <w:trPr>
          <w:trHeight w:val="841"/>
        </w:trPr>
        <w:tc>
          <w:tcPr>
            <w:tcW w:w="4423" w:type="dxa"/>
            <w:tcBorders>
              <w:top w:val="single" w:sz="4" w:space="0" w:color="auto"/>
              <w:left w:val="single" w:sz="4" w:space="0" w:color="auto"/>
              <w:bottom w:val="single" w:sz="4" w:space="0" w:color="auto"/>
              <w:right w:val="single" w:sz="4" w:space="0" w:color="auto"/>
            </w:tcBorders>
          </w:tcPr>
          <w:p w14:paraId="5457FD2D" w14:textId="77777777" w:rsidR="00C600DB" w:rsidRPr="000B227F" w:rsidRDefault="00C600DB" w:rsidP="00C600DB">
            <w:pPr>
              <w:rPr>
                <w:rFonts w:ascii="Times New Roman" w:hAnsi="Times New Roman" w:cs="Times New Roman"/>
                <w:sz w:val="24"/>
                <w:szCs w:val="24"/>
              </w:rPr>
            </w:pPr>
            <w:r w:rsidRPr="000B227F">
              <w:rPr>
                <w:rFonts w:ascii="Times New Roman" w:hAnsi="Times New Roman" w:cs="Times New Roman"/>
                <w:sz w:val="24"/>
                <w:szCs w:val="24"/>
              </w:rPr>
              <w:t xml:space="preserve">Неэффективность принятых банками мер по снижению уровня </w:t>
            </w:r>
            <w:proofErr w:type="spellStart"/>
            <w:r w:rsidRPr="000B227F">
              <w:rPr>
                <w:rFonts w:ascii="Times New Roman" w:hAnsi="Times New Roman" w:cs="Times New Roman"/>
                <w:sz w:val="24"/>
                <w:szCs w:val="24"/>
              </w:rPr>
              <w:t>обналичивания</w:t>
            </w:r>
            <w:proofErr w:type="spellEnd"/>
            <w:r w:rsidRPr="000B227F">
              <w:rPr>
                <w:rFonts w:ascii="Times New Roman" w:hAnsi="Times New Roman" w:cs="Times New Roman"/>
                <w:sz w:val="24"/>
                <w:szCs w:val="24"/>
              </w:rPr>
              <w:t xml:space="preserve"> денег</w:t>
            </w:r>
          </w:p>
        </w:tc>
        <w:tc>
          <w:tcPr>
            <w:tcW w:w="4961" w:type="dxa"/>
            <w:tcBorders>
              <w:top w:val="single" w:sz="4" w:space="0" w:color="auto"/>
              <w:left w:val="single" w:sz="4" w:space="0" w:color="auto"/>
              <w:bottom w:val="single" w:sz="4" w:space="0" w:color="auto"/>
              <w:right w:val="single" w:sz="4" w:space="0" w:color="auto"/>
            </w:tcBorders>
          </w:tcPr>
          <w:p w14:paraId="4E988981" w14:textId="77777777" w:rsidR="00C600DB" w:rsidRPr="000B227F" w:rsidRDefault="00C600DB" w:rsidP="00C600DB">
            <w:pPr>
              <w:rPr>
                <w:rFonts w:ascii="Times New Roman" w:hAnsi="Times New Roman" w:cs="Times New Roman"/>
                <w:sz w:val="24"/>
                <w:szCs w:val="24"/>
              </w:rPr>
            </w:pPr>
            <w:r w:rsidRPr="000B227F">
              <w:rPr>
                <w:rFonts w:ascii="Times New Roman" w:hAnsi="Times New Roman" w:cs="Times New Roman"/>
                <w:sz w:val="24"/>
                <w:szCs w:val="24"/>
              </w:rPr>
              <w:t>Проработка мероприятий по выработке механизмов перехода на безналичные платежи</w:t>
            </w:r>
          </w:p>
        </w:tc>
        <w:tc>
          <w:tcPr>
            <w:tcW w:w="3686" w:type="dxa"/>
            <w:tcBorders>
              <w:top w:val="single" w:sz="4" w:space="0" w:color="auto"/>
              <w:left w:val="single" w:sz="4" w:space="0" w:color="auto"/>
              <w:bottom w:val="single" w:sz="4" w:space="0" w:color="auto"/>
              <w:right w:val="single" w:sz="4" w:space="0" w:color="auto"/>
            </w:tcBorders>
          </w:tcPr>
          <w:p w14:paraId="2CBC080C" w14:textId="694336E0" w:rsidR="00C600DB" w:rsidRPr="000B227F" w:rsidRDefault="00C600DB" w:rsidP="00724B07">
            <w:pPr>
              <w:pStyle w:val="a3"/>
              <w:spacing w:before="0" w:beforeAutospacing="0" w:after="0" w:afterAutospacing="0"/>
              <w:jc w:val="both"/>
            </w:pPr>
            <w:r w:rsidRPr="000B227F">
              <w:t>См. аналитическую записку</w:t>
            </w:r>
            <w:r w:rsidRPr="000B227F" w:rsidDel="00C600DB">
              <w:rPr>
                <w:i/>
              </w:rPr>
              <w:t xml:space="preserve"> </w:t>
            </w:r>
          </w:p>
        </w:tc>
        <w:tc>
          <w:tcPr>
            <w:tcW w:w="2126" w:type="dxa"/>
            <w:tcBorders>
              <w:top w:val="single" w:sz="4" w:space="0" w:color="auto"/>
              <w:left w:val="single" w:sz="4" w:space="0" w:color="auto"/>
              <w:bottom w:val="single" w:sz="4" w:space="0" w:color="auto"/>
              <w:right w:val="single" w:sz="4" w:space="0" w:color="auto"/>
            </w:tcBorders>
          </w:tcPr>
          <w:p w14:paraId="448D78D8" w14:textId="20DA79DC" w:rsidR="00C600DB" w:rsidRPr="000B227F" w:rsidRDefault="00C600DB"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tc>
      </w:tr>
      <w:tr w:rsidR="00C600DB" w:rsidRPr="000B227F" w14:paraId="380BA45D" w14:textId="77777777" w:rsidTr="00724B07">
        <w:trPr>
          <w:trHeight w:val="30"/>
        </w:trPr>
        <w:tc>
          <w:tcPr>
            <w:tcW w:w="4423" w:type="dxa"/>
            <w:tcBorders>
              <w:top w:val="single" w:sz="4" w:space="0" w:color="auto"/>
              <w:left w:val="single" w:sz="4" w:space="0" w:color="auto"/>
              <w:bottom w:val="single" w:sz="4" w:space="0" w:color="auto"/>
              <w:right w:val="single" w:sz="4" w:space="0" w:color="auto"/>
            </w:tcBorders>
          </w:tcPr>
          <w:p w14:paraId="7D9DF713" w14:textId="77777777" w:rsidR="00C600DB" w:rsidRPr="000B227F" w:rsidRDefault="00C600DB" w:rsidP="00C600DB">
            <w:pPr>
              <w:rPr>
                <w:rFonts w:ascii="Times New Roman" w:hAnsi="Times New Roman" w:cs="Times New Roman"/>
                <w:sz w:val="24"/>
                <w:szCs w:val="24"/>
              </w:rPr>
            </w:pPr>
            <w:r w:rsidRPr="000B227F">
              <w:rPr>
                <w:rFonts w:ascii="Times New Roman" w:hAnsi="Times New Roman" w:cs="Times New Roman"/>
                <w:sz w:val="24"/>
                <w:szCs w:val="24"/>
              </w:rPr>
              <w:t>Неверное толкование и исполнение требований по ПОД/ФТ  субъектами финансового мониторинга</w:t>
            </w:r>
          </w:p>
        </w:tc>
        <w:tc>
          <w:tcPr>
            <w:tcW w:w="4961" w:type="dxa"/>
            <w:tcBorders>
              <w:top w:val="single" w:sz="4" w:space="0" w:color="auto"/>
              <w:left w:val="single" w:sz="4" w:space="0" w:color="auto"/>
              <w:bottom w:val="single" w:sz="4" w:space="0" w:color="auto"/>
              <w:right w:val="single" w:sz="4" w:space="0" w:color="auto"/>
            </w:tcBorders>
          </w:tcPr>
          <w:p w14:paraId="301C90D0" w14:textId="77777777" w:rsidR="00C600DB" w:rsidRPr="000B227F" w:rsidRDefault="00C600DB" w:rsidP="00C600DB">
            <w:pPr>
              <w:rPr>
                <w:rFonts w:ascii="Times New Roman" w:hAnsi="Times New Roman" w:cs="Times New Roman"/>
                <w:sz w:val="24"/>
                <w:szCs w:val="24"/>
              </w:rPr>
            </w:pPr>
            <w:r w:rsidRPr="000B227F">
              <w:rPr>
                <w:rFonts w:ascii="Times New Roman" w:hAnsi="Times New Roman" w:cs="Times New Roman"/>
                <w:bCs/>
                <w:sz w:val="24"/>
                <w:szCs w:val="24"/>
              </w:rPr>
              <w:t>Принятие мер надзорного реагирования вплоть до приостановления/лишения лицензии</w:t>
            </w:r>
          </w:p>
        </w:tc>
        <w:tc>
          <w:tcPr>
            <w:tcW w:w="3686" w:type="dxa"/>
            <w:tcBorders>
              <w:top w:val="single" w:sz="4" w:space="0" w:color="auto"/>
              <w:left w:val="single" w:sz="4" w:space="0" w:color="auto"/>
              <w:bottom w:val="single" w:sz="4" w:space="0" w:color="auto"/>
              <w:right w:val="single" w:sz="4" w:space="0" w:color="auto"/>
            </w:tcBorders>
          </w:tcPr>
          <w:p w14:paraId="50FF3FC1" w14:textId="50260EDC" w:rsidR="00C600DB" w:rsidRPr="000B227F" w:rsidRDefault="00C600DB" w:rsidP="00724B07">
            <w:pPr>
              <w:spacing w:after="0" w:line="240" w:lineRule="auto"/>
              <w:jc w:val="both"/>
              <w:rPr>
                <w:rFonts w:ascii="Times New Roman" w:eastAsia="Calibri" w:hAnsi="Times New Roman" w:cs="Times New Roman"/>
                <w:sz w:val="24"/>
                <w:szCs w:val="24"/>
              </w:rPr>
            </w:pPr>
            <w:r w:rsidRPr="000B227F">
              <w:rPr>
                <w:rFonts w:ascii="Times New Roman" w:eastAsia="Calibri" w:hAnsi="Times New Roman" w:cs="Times New Roman"/>
                <w:sz w:val="24"/>
                <w:szCs w:val="24"/>
              </w:rPr>
              <w:t xml:space="preserve"> </w:t>
            </w:r>
            <w:r w:rsidRPr="000B227F">
              <w:rPr>
                <w:rFonts w:ascii="Times New Roman" w:hAnsi="Times New Roman" w:cs="Times New Roman"/>
                <w:sz w:val="24"/>
                <w:szCs w:val="24"/>
              </w:rPr>
              <w:t>См. аналитическую записку</w:t>
            </w:r>
          </w:p>
        </w:tc>
        <w:tc>
          <w:tcPr>
            <w:tcW w:w="2126" w:type="dxa"/>
            <w:tcBorders>
              <w:top w:val="single" w:sz="4" w:space="0" w:color="auto"/>
              <w:left w:val="single" w:sz="4" w:space="0" w:color="auto"/>
              <w:bottom w:val="single" w:sz="4" w:space="0" w:color="auto"/>
              <w:right w:val="single" w:sz="4" w:space="0" w:color="auto"/>
            </w:tcBorders>
          </w:tcPr>
          <w:p w14:paraId="6B3DAC66" w14:textId="77777777" w:rsidR="00C600DB" w:rsidRPr="000B227F" w:rsidRDefault="00C600DB" w:rsidP="00724B07">
            <w:pPr>
              <w:spacing w:after="0" w:line="240" w:lineRule="auto"/>
              <w:jc w:val="center"/>
              <w:rPr>
                <w:rFonts w:ascii="Times New Roman" w:eastAsia="Calibri" w:hAnsi="Times New Roman" w:cs="Times New Roman"/>
                <w:sz w:val="24"/>
                <w:szCs w:val="24"/>
              </w:rPr>
            </w:pPr>
            <w:r w:rsidRPr="000B227F">
              <w:rPr>
                <w:rFonts w:ascii="Times New Roman" w:eastAsia="Calibri" w:hAnsi="Times New Roman" w:cs="Times New Roman"/>
                <w:sz w:val="24"/>
                <w:szCs w:val="24"/>
              </w:rPr>
              <w:t>Исполнено</w:t>
            </w:r>
          </w:p>
        </w:tc>
      </w:tr>
    </w:tbl>
    <w:p w14:paraId="31AD5F6C" w14:textId="715CAE62" w:rsidR="00261525" w:rsidRPr="000B227F" w:rsidRDefault="00261525" w:rsidP="003101F2">
      <w:pPr>
        <w:rPr>
          <w:rFonts w:ascii="Times New Roman" w:hAnsi="Times New Roman" w:cs="Times New Roman"/>
          <w:sz w:val="24"/>
          <w:szCs w:val="24"/>
        </w:rPr>
      </w:pPr>
    </w:p>
    <w:p w14:paraId="0B9ADEC4" w14:textId="4F60ADBD" w:rsidR="00724B07" w:rsidRPr="000B227F" w:rsidRDefault="00724B07" w:rsidP="003101F2">
      <w:pPr>
        <w:rPr>
          <w:rFonts w:ascii="Times New Roman" w:hAnsi="Times New Roman" w:cs="Times New Roman"/>
          <w:sz w:val="24"/>
          <w:szCs w:val="24"/>
        </w:rPr>
      </w:pPr>
    </w:p>
    <w:p w14:paraId="277B0AF8" w14:textId="6D378129" w:rsidR="00724B07" w:rsidRPr="000B227F" w:rsidRDefault="00724B07" w:rsidP="005813D2">
      <w:pPr>
        <w:pStyle w:val="a8"/>
        <w:widowControl w:val="0"/>
        <w:numPr>
          <w:ilvl w:val="0"/>
          <w:numId w:val="11"/>
        </w:numPr>
        <w:tabs>
          <w:tab w:val="left" w:pos="993"/>
        </w:tabs>
        <w:ind w:left="0" w:firstLine="709"/>
        <w:rPr>
          <w:rFonts w:ascii="Times New Roman" w:hAnsi="Times New Roman"/>
          <w:b/>
          <w:bCs/>
          <w:sz w:val="24"/>
          <w:szCs w:val="24"/>
        </w:rPr>
      </w:pPr>
      <w:r w:rsidRPr="000B227F">
        <w:rPr>
          <w:rFonts w:ascii="Times New Roman" w:hAnsi="Times New Roman"/>
          <w:b/>
          <w:sz w:val="24"/>
          <w:szCs w:val="24"/>
        </w:rPr>
        <w:lastRenderedPageBreak/>
        <w:t>ДОСТИЖЕНИЕ ЦЕЛЕЙ И ЦЕЛЕВЫХ ИНДИКАТОРОВ</w:t>
      </w:r>
    </w:p>
    <w:p w14:paraId="0562EB2C" w14:textId="77777777" w:rsidR="00724B07" w:rsidRPr="000B227F" w:rsidRDefault="00724B07" w:rsidP="00724B07">
      <w:pPr>
        <w:pStyle w:val="a8"/>
        <w:widowControl w:val="0"/>
        <w:ind w:left="502"/>
        <w:rPr>
          <w:rFonts w:ascii="Times New Roman" w:hAnsi="Times New Roman"/>
          <w:b/>
          <w:bCs/>
          <w:sz w:val="24"/>
          <w:szCs w:val="24"/>
        </w:rPr>
      </w:pPr>
    </w:p>
    <w:tbl>
      <w:tblPr>
        <w:tblW w:w="152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3402"/>
        <w:gridCol w:w="1985"/>
        <w:gridCol w:w="1559"/>
        <w:gridCol w:w="1134"/>
        <w:gridCol w:w="2698"/>
        <w:gridCol w:w="20"/>
      </w:tblGrid>
      <w:tr w:rsidR="00724B07" w:rsidRPr="000B227F" w14:paraId="3BA4FA38" w14:textId="77777777" w:rsidTr="00724B07">
        <w:trPr>
          <w:gridAfter w:val="1"/>
          <w:wAfter w:w="20" w:type="dxa"/>
          <w:trHeight w:val="30"/>
          <w:tblHeader/>
        </w:trPr>
        <w:tc>
          <w:tcPr>
            <w:tcW w:w="4424" w:type="dxa"/>
            <w:vMerge w:val="restart"/>
          </w:tcPr>
          <w:p w14:paraId="19EBF425" w14:textId="77777777" w:rsidR="00724B07" w:rsidRPr="000B227F" w:rsidRDefault="00724B07" w:rsidP="005813D2">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Наименование целевого индикатора</w:t>
            </w:r>
          </w:p>
        </w:tc>
        <w:tc>
          <w:tcPr>
            <w:tcW w:w="3402" w:type="dxa"/>
            <w:vMerge w:val="restart"/>
          </w:tcPr>
          <w:p w14:paraId="0C01F92D" w14:textId="77777777" w:rsidR="00724B07" w:rsidRPr="000B227F" w:rsidRDefault="00724B07" w:rsidP="005813D2">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Источник информации</w:t>
            </w:r>
          </w:p>
        </w:tc>
        <w:tc>
          <w:tcPr>
            <w:tcW w:w="1985" w:type="dxa"/>
            <w:vMerge w:val="restart"/>
          </w:tcPr>
          <w:p w14:paraId="42C0DCA2" w14:textId="77777777" w:rsidR="00724B07" w:rsidRPr="000B227F" w:rsidRDefault="00724B07" w:rsidP="005813D2">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Ед. изм.</w:t>
            </w:r>
          </w:p>
        </w:tc>
        <w:tc>
          <w:tcPr>
            <w:tcW w:w="2693" w:type="dxa"/>
            <w:gridSpan w:val="2"/>
          </w:tcPr>
          <w:p w14:paraId="7BDD0FE9" w14:textId="77777777" w:rsidR="00724B07" w:rsidRPr="000B227F" w:rsidRDefault="00724B07" w:rsidP="005813D2">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2020 год</w:t>
            </w:r>
          </w:p>
        </w:tc>
        <w:tc>
          <w:tcPr>
            <w:tcW w:w="2698" w:type="dxa"/>
            <w:vMerge w:val="restart"/>
          </w:tcPr>
          <w:p w14:paraId="6AB84E69" w14:textId="77777777" w:rsidR="00724B07" w:rsidRPr="000B227F" w:rsidRDefault="00724B07" w:rsidP="005813D2">
            <w:pPr>
              <w:spacing w:after="0" w:line="240" w:lineRule="auto"/>
              <w:ind w:left="23"/>
              <w:jc w:val="center"/>
              <w:rPr>
                <w:rFonts w:ascii="Times New Roman" w:hAnsi="Times New Roman" w:cs="Times New Roman"/>
                <w:b/>
                <w:sz w:val="24"/>
                <w:szCs w:val="24"/>
              </w:rPr>
            </w:pPr>
            <w:r w:rsidRPr="000B227F">
              <w:rPr>
                <w:rFonts w:ascii="Times New Roman" w:hAnsi="Times New Roman" w:cs="Times New Roman"/>
                <w:b/>
                <w:sz w:val="24"/>
                <w:szCs w:val="24"/>
              </w:rPr>
              <w:t>Примечание (информация об исполнении/неисполнении)</w:t>
            </w:r>
          </w:p>
        </w:tc>
      </w:tr>
      <w:tr w:rsidR="00724B07" w:rsidRPr="000B227F" w14:paraId="32ECA478" w14:textId="77777777" w:rsidTr="00724B07">
        <w:trPr>
          <w:gridAfter w:val="1"/>
          <w:wAfter w:w="20" w:type="dxa"/>
          <w:trHeight w:val="30"/>
          <w:tblHeader/>
        </w:trPr>
        <w:tc>
          <w:tcPr>
            <w:tcW w:w="4424" w:type="dxa"/>
            <w:vMerge/>
          </w:tcPr>
          <w:p w14:paraId="43201BA6" w14:textId="77777777" w:rsidR="00724B07" w:rsidRPr="000B227F" w:rsidRDefault="00724B07" w:rsidP="005813D2">
            <w:pPr>
              <w:rPr>
                <w:rFonts w:ascii="Times New Roman" w:hAnsi="Times New Roman" w:cs="Times New Roman"/>
                <w:sz w:val="24"/>
                <w:szCs w:val="24"/>
              </w:rPr>
            </w:pPr>
          </w:p>
        </w:tc>
        <w:tc>
          <w:tcPr>
            <w:tcW w:w="3402" w:type="dxa"/>
            <w:vMerge/>
          </w:tcPr>
          <w:p w14:paraId="41D178F6" w14:textId="77777777" w:rsidR="00724B07" w:rsidRPr="000B227F" w:rsidRDefault="00724B07" w:rsidP="005813D2">
            <w:pPr>
              <w:rPr>
                <w:rFonts w:ascii="Times New Roman" w:hAnsi="Times New Roman" w:cs="Times New Roman"/>
                <w:sz w:val="24"/>
                <w:szCs w:val="24"/>
              </w:rPr>
            </w:pPr>
          </w:p>
        </w:tc>
        <w:tc>
          <w:tcPr>
            <w:tcW w:w="1985" w:type="dxa"/>
            <w:vMerge/>
          </w:tcPr>
          <w:p w14:paraId="1C1A3E0D" w14:textId="77777777" w:rsidR="00724B07" w:rsidRPr="000B227F" w:rsidRDefault="00724B07" w:rsidP="005813D2">
            <w:pPr>
              <w:rPr>
                <w:rFonts w:ascii="Times New Roman" w:hAnsi="Times New Roman" w:cs="Times New Roman"/>
                <w:sz w:val="24"/>
                <w:szCs w:val="24"/>
              </w:rPr>
            </w:pPr>
          </w:p>
        </w:tc>
        <w:tc>
          <w:tcPr>
            <w:tcW w:w="1559" w:type="dxa"/>
          </w:tcPr>
          <w:p w14:paraId="35CB338B" w14:textId="77777777" w:rsidR="00724B07" w:rsidRPr="000B227F" w:rsidRDefault="00724B07" w:rsidP="005813D2">
            <w:pPr>
              <w:spacing w:after="0" w:line="240" w:lineRule="auto"/>
              <w:ind w:left="23"/>
              <w:jc w:val="center"/>
              <w:rPr>
                <w:rFonts w:ascii="Times New Roman" w:hAnsi="Times New Roman" w:cs="Times New Roman"/>
                <w:sz w:val="24"/>
                <w:szCs w:val="24"/>
              </w:rPr>
            </w:pPr>
            <w:r w:rsidRPr="000B227F">
              <w:rPr>
                <w:rFonts w:ascii="Times New Roman" w:hAnsi="Times New Roman" w:cs="Times New Roman"/>
                <w:sz w:val="24"/>
                <w:szCs w:val="24"/>
              </w:rPr>
              <w:t>План</w:t>
            </w:r>
          </w:p>
        </w:tc>
        <w:tc>
          <w:tcPr>
            <w:tcW w:w="1134" w:type="dxa"/>
          </w:tcPr>
          <w:p w14:paraId="4F852586" w14:textId="77777777" w:rsidR="00724B07" w:rsidRPr="000B227F" w:rsidRDefault="00724B07" w:rsidP="005813D2">
            <w:pPr>
              <w:spacing w:after="0" w:line="240" w:lineRule="auto"/>
              <w:ind w:left="23"/>
              <w:jc w:val="center"/>
              <w:rPr>
                <w:rFonts w:ascii="Times New Roman" w:hAnsi="Times New Roman" w:cs="Times New Roman"/>
                <w:sz w:val="24"/>
                <w:szCs w:val="24"/>
              </w:rPr>
            </w:pPr>
            <w:r w:rsidRPr="000B227F">
              <w:rPr>
                <w:rFonts w:ascii="Times New Roman" w:hAnsi="Times New Roman" w:cs="Times New Roman"/>
                <w:sz w:val="24"/>
                <w:szCs w:val="24"/>
              </w:rPr>
              <w:t>Факт</w:t>
            </w:r>
          </w:p>
        </w:tc>
        <w:tc>
          <w:tcPr>
            <w:tcW w:w="2698" w:type="dxa"/>
            <w:vMerge/>
          </w:tcPr>
          <w:p w14:paraId="41FD7134" w14:textId="77777777" w:rsidR="00724B07" w:rsidRPr="000B227F" w:rsidRDefault="00724B07" w:rsidP="005813D2">
            <w:pPr>
              <w:rPr>
                <w:rFonts w:ascii="Times New Roman" w:hAnsi="Times New Roman" w:cs="Times New Roman"/>
                <w:sz w:val="24"/>
                <w:szCs w:val="24"/>
              </w:rPr>
            </w:pPr>
          </w:p>
        </w:tc>
      </w:tr>
      <w:tr w:rsidR="00724B07" w:rsidRPr="000B227F" w14:paraId="7CDFC739" w14:textId="77777777" w:rsidTr="00724B07">
        <w:trPr>
          <w:gridAfter w:val="1"/>
          <w:wAfter w:w="20" w:type="dxa"/>
          <w:trHeight w:val="30"/>
        </w:trPr>
        <w:tc>
          <w:tcPr>
            <w:tcW w:w="4424" w:type="dxa"/>
          </w:tcPr>
          <w:p w14:paraId="3B6E5B7F" w14:textId="77777777" w:rsidR="00724B07" w:rsidRPr="000B227F" w:rsidRDefault="00724B07" w:rsidP="005813D2">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1</w:t>
            </w:r>
          </w:p>
        </w:tc>
        <w:tc>
          <w:tcPr>
            <w:tcW w:w="3402" w:type="dxa"/>
          </w:tcPr>
          <w:p w14:paraId="13B8F10E" w14:textId="77777777" w:rsidR="00724B07" w:rsidRPr="000B227F" w:rsidRDefault="00724B07" w:rsidP="005813D2">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2</w:t>
            </w:r>
          </w:p>
        </w:tc>
        <w:tc>
          <w:tcPr>
            <w:tcW w:w="1985" w:type="dxa"/>
          </w:tcPr>
          <w:p w14:paraId="3904585D" w14:textId="77777777" w:rsidR="00724B07" w:rsidRPr="000B227F" w:rsidRDefault="00724B07" w:rsidP="005813D2">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3</w:t>
            </w:r>
          </w:p>
        </w:tc>
        <w:tc>
          <w:tcPr>
            <w:tcW w:w="1559" w:type="dxa"/>
          </w:tcPr>
          <w:p w14:paraId="76BEBD0D" w14:textId="77777777" w:rsidR="00724B07" w:rsidRPr="000B227F" w:rsidRDefault="00724B07" w:rsidP="005813D2">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4</w:t>
            </w:r>
          </w:p>
        </w:tc>
        <w:tc>
          <w:tcPr>
            <w:tcW w:w="1134" w:type="dxa"/>
          </w:tcPr>
          <w:p w14:paraId="0E6790B0" w14:textId="77777777" w:rsidR="00724B07" w:rsidRPr="000B227F" w:rsidRDefault="00724B07" w:rsidP="005813D2">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5</w:t>
            </w:r>
          </w:p>
        </w:tc>
        <w:tc>
          <w:tcPr>
            <w:tcW w:w="2698" w:type="dxa"/>
          </w:tcPr>
          <w:p w14:paraId="3626783F" w14:textId="77777777" w:rsidR="00724B07" w:rsidRPr="000B227F" w:rsidRDefault="00724B07" w:rsidP="005813D2">
            <w:pPr>
              <w:spacing w:after="20"/>
              <w:ind w:left="20"/>
              <w:jc w:val="center"/>
              <w:rPr>
                <w:rFonts w:ascii="Times New Roman" w:hAnsi="Times New Roman" w:cs="Times New Roman"/>
                <w:sz w:val="24"/>
                <w:szCs w:val="24"/>
              </w:rPr>
            </w:pPr>
            <w:r w:rsidRPr="000B227F">
              <w:rPr>
                <w:rFonts w:ascii="Times New Roman" w:hAnsi="Times New Roman" w:cs="Times New Roman"/>
                <w:sz w:val="24"/>
                <w:szCs w:val="24"/>
              </w:rPr>
              <w:t>6</w:t>
            </w:r>
          </w:p>
        </w:tc>
      </w:tr>
      <w:tr w:rsidR="00724B07" w:rsidRPr="000B227F" w14:paraId="5FD5151D" w14:textId="77777777" w:rsidTr="00724B07">
        <w:trPr>
          <w:trHeight w:val="253"/>
        </w:trPr>
        <w:tc>
          <w:tcPr>
            <w:tcW w:w="15222" w:type="dxa"/>
            <w:gridSpan w:val="7"/>
          </w:tcPr>
          <w:p w14:paraId="2FEADAB5" w14:textId="77777777" w:rsidR="00724B07" w:rsidRPr="000B227F" w:rsidRDefault="00724B07" w:rsidP="005813D2">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1. Обеспечение стабильности финансового рынка</w:t>
            </w:r>
          </w:p>
        </w:tc>
      </w:tr>
      <w:tr w:rsidR="00724B07" w:rsidRPr="000B227F" w14:paraId="3946E805" w14:textId="77777777" w:rsidTr="00724B07">
        <w:trPr>
          <w:trHeight w:val="30"/>
        </w:trPr>
        <w:tc>
          <w:tcPr>
            <w:tcW w:w="15222" w:type="dxa"/>
            <w:gridSpan w:val="7"/>
          </w:tcPr>
          <w:p w14:paraId="0C97DEB1" w14:textId="77777777" w:rsidR="00724B07" w:rsidRPr="000B227F" w:rsidRDefault="00724B07" w:rsidP="005813D2">
            <w:pPr>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1. Повышение уровня финансовой устойчивости финансовых организаций</w:t>
            </w:r>
          </w:p>
        </w:tc>
      </w:tr>
      <w:tr w:rsidR="00724B07" w:rsidRPr="000B227F" w14:paraId="546F8B9E" w14:textId="77777777" w:rsidTr="00724B07">
        <w:trPr>
          <w:gridAfter w:val="1"/>
          <w:wAfter w:w="20" w:type="dxa"/>
          <w:trHeight w:val="30"/>
        </w:trPr>
        <w:tc>
          <w:tcPr>
            <w:tcW w:w="4424" w:type="dxa"/>
          </w:tcPr>
          <w:p w14:paraId="703FD8BD"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Достаточность собственного капитала банков (К2)</w:t>
            </w:r>
          </w:p>
        </w:tc>
        <w:tc>
          <w:tcPr>
            <w:tcW w:w="3402" w:type="dxa"/>
          </w:tcPr>
          <w:p w14:paraId="5C6AAB17" w14:textId="77777777" w:rsidR="00724B07" w:rsidRPr="000B227F" w:rsidRDefault="00724B07" w:rsidP="00724B07">
            <w:pPr>
              <w:rPr>
                <w:rFonts w:ascii="Times New Roman" w:hAnsi="Times New Roman" w:cs="Times New Roman"/>
                <w:sz w:val="24"/>
                <w:szCs w:val="24"/>
              </w:rPr>
            </w:pPr>
            <w:r w:rsidRPr="000B227F">
              <w:rPr>
                <w:rFonts w:ascii="Times New Roman" w:hAnsi="Times New Roman" w:cs="Times New Roman"/>
                <w:sz w:val="24"/>
                <w:szCs w:val="24"/>
              </w:rPr>
              <w:t>Отчетность, представляемая банками</w:t>
            </w:r>
          </w:p>
          <w:p w14:paraId="033288DF" w14:textId="77777777" w:rsidR="00724B07" w:rsidRPr="000B227F" w:rsidRDefault="00724B07" w:rsidP="00724B07">
            <w:pPr>
              <w:rPr>
                <w:rFonts w:ascii="Times New Roman" w:hAnsi="Times New Roman" w:cs="Times New Roman"/>
                <w:sz w:val="24"/>
                <w:szCs w:val="24"/>
              </w:rPr>
            </w:pPr>
          </w:p>
        </w:tc>
        <w:tc>
          <w:tcPr>
            <w:tcW w:w="1985" w:type="dxa"/>
          </w:tcPr>
          <w:p w14:paraId="44B97B9F"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w:t>
            </w:r>
          </w:p>
        </w:tc>
        <w:tc>
          <w:tcPr>
            <w:tcW w:w="1559" w:type="dxa"/>
          </w:tcPr>
          <w:p w14:paraId="1AC86DD7"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не менее 10</w:t>
            </w:r>
          </w:p>
        </w:tc>
        <w:tc>
          <w:tcPr>
            <w:tcW w:w="1134" w:type="dxa"/>
          </w:tcPr>
          <w:p w14:paraId="162A8AE1"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27</w:t>
            </w:r>
          </w:p>
        </w:tc>
        <w:tc>
          <w:tcPr>
            <w:tcW w:w="2698" w:type="dxa"/>
          </w:tcPr>
          <w:p w14:paraId="791E8EEF" w14:textId="77777777" w:rsidR="00724B07" w:rsidRPr="000B227F" w:rsidRDefault="00724B07" w:rsidP="00724B07">
            <w:pPr>
              <w:tabs>
                <w:tab w:val="left" w:pos="526"/>
                <w:tab w:val="left" w:pos="676"/>
              </w:tabs>
              <w:spacing w:after="0"/>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245E65AE" w14:textId="77777777" w:rsidR="00724B07" w:rsidRPr="000B227F" w:rsidRDefault="00724B07" w:rsidP="005813D2">
            <w:pPr>
              <w:spacing w:after="0" w:line="240" w:lineRule="auto"/>
              <w:jc w:val="both"/>
              <w:rPr>
                <w:rFonts w:ascii="Times New Roman" w:eastAsia="Calibri" w:hAnsi="Times New Roman" w:cs="Times New Roman"/>
                <w:sz w:val="24"/>
                <w:szCs w:val="24"/>
                <w:lang w:eastAsia="ru-RU"/>
              </w:rPr>
            </w:pPr>
            <w:r w:rsidRPr="000B227F">
              <w:rPr>
                <w:rFonts w:ascii="Times New Roman" w:hAnsi="Times New Roman" w:cs="Times New Roman"/>
                <w:sz w:val="24"/>
                <w:szCs w:val="24"/>
              </w:rPr>
              <w:t>См. аналитическую записку</w:t>
            </w:r>
          </w:p>
        </w:tc>
      </w:tr>
      <w:tr w:rsidR="00724B07" w:rsidRPr="000B227F" w14:paraId="728EBC12" w14:textId="77777777" w:rsidTr="00724B07">
        <w:trPr>
          <w:gridAfter w:val="1"/>
          <w:wAfter w:w="20" w:type="dxa"/>
          <w:trHeight w:val="1375"/>
        </w:trPr>
        <w:tc>
          <w:tcPr>
            <w:tcW w:w="4424" w:type="dxa"/>
          </w:tcPr>
          <w:p w14:paraId="564C0A35"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Доля займов с просрочкой платежа по основному долгу и/или вознаграждению сроком более 90 дней в ссудном портфеле банков</w:t>
            </w:r>
          </w:p>
        </w:tc>
        <w:tc>
          <w:tcPr>
            <w:tcW w:w="3402" w:type="dxa"/>
          </w:tcPr>
          <w:p w14:paraId="3E307CFA" w14:textId="77777777" w:rsidR="00724B07" w:rsidRPr="000B227F" w:rsidRDefault="00724B07" w:rsidP="00724B07">
            <w:pPr>
              <w:rPr>
                <w:rFonts w:ascii="Times New Roman" w:hAnsi="Times New Roman" w:cs="Times New Roman"/>
                <w:sz w:val="24"/>
                <w:szCs w:val="24"/>
              </w:rPr>
            </w:pPr>
            <w:r w:rsidRPr="000B227F">
              <w:rPr>
                <w:rFonts w:ascii="Times New Roman" w:hAnsi="Times New Roman" w:cs="Times New Roman"/>
                <w:sz w:val="24"/>
                <w:szCs w:val="24"/>
              </w:rPr>
              <w:t>Отчетность, представляемая банками</w:t>
            </w:r>
          </w:p>
          <w:p w14:paraId="653767F9" w14:textId="77777777" w:rsidR="00724B07" w:rsidRPr="000B227F" w:rsidRDefault="00724B07" w:rsidP="00724B07">
            <w:pPr>
              <w:rPr>
                <w:rFonts w:ascii="Times New Roman" w:hAnsi="Times New Roman" w:cs="Times New Roman"/>
                <w:sz w:val="24"/>
                <w:szCs w:val="24"/>
              </w:rPr>
            </w:pPr>
          </w:p>
        </w:tc>
        <w:tc>
          <w:tcPr>
            <w:tcW w:w="1985" w:type="dxa"/>
          </w:tcPr>
          <w:p w14:paraId="199C9D8A"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w:t>
            </w:r>
          </w:p>
        </w:tc>
        <w:tc>
          <w:tcPr>
            <w:tcW w:w="1559" w:type="dxa"/>
          </w:tcPr>
          <w:p w14:paraId="2854880F"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Не более 10</w:t>
            </w:r>
          </w:p>
        </w:tc>
        <w:tc>
          <w:tcPr>
            <w:tcW w:w="1134" w:type="dxa"/>
          </w:tcPr>
          <w:p w14:paraId="4DF46185"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6,8</w:t>
            </w:r>
          </w:p>
        </w:tc>
        <w:tc>
          <w:tcPr>
            <w:tcW w:w="2698" w:type="dxa"/>
          </w:tcPr>
          <w:p w14:paraId="334DFC64" w14:textId="77777777" w:rsidR="00724B07" w:rsidRPr="000B227F" w:rsidRDefault="00724B07" w:rsidP="005813D2">
            <w:pPr>
              <w:spacing w:after="0"/>
              <w:rPr>
                <w:rFonts w:ascii="Times New Roman" w:hAnsi="Times New Roman" w:cs="Times New Roman"/>
                <w:sz w:val="24"/>
                <w:szCs w:val="24"/>
              </w:rPr>
            </w:pPr>
            <w:r w:rsidRPr="000B227F">
              <w:rPr>
                <w:rFonts w:ascii="Times New Roman" w:hAnsi="Times New Roman" w:cs="Times New Roman"/>
                <w:sz w:val="24"/>
                <w:szCs w:val="24"/>
              </w:rPr>
              <w:t>Исполнено</w:t>
            </w:r>
          </w:p>
          <w:p w14:paraId="51D85055" w14:textId="77777777" w:rsidR="00724B07" w:rsidRPr="000B227F" w:rsidRDefault="00724B07" w:rsidP="005813D2">
            <w:pPr>
              <w:spacing w:after="0" w:line="240" w:lineRule="auto"/>
              <w:jc w:val="both"/>
              <w:rPr>
                <w:rFonts w:ascii="Times New Roman" w:eastAsia="Times New Roman" w:hAnsi="Times New Roman" w:cs="Times New Roman"/>
                <w:sz w:val="24"/>
                <w:szCs w:val="24"/>
                <w:lang w:eastAsia="ru-RU"/>
              </w:rPr>
            </w:pPr>
            <w:r w:rsidRPr="000B227F">
              <w:rPr>
                <w:rFonts w:ascii="Times New Roman" w:hAnsi="Times New Roman" w:cs="Times New Roman"/>
                <w:sz w:val="24"/>
                <w:szCs w:val="24"/>
              </w:rPr>
              <w:t>См. аналитическую записку</w:t>
            </w:r>
          </w:p>
        </w:tc>
      </w:tr>
      <w:tr w:rsidR="00724B07" w:rsidRPr="000B227F" w14:paraId="336D4D03" w14:textId="77777777" w:rsidTr="00724B07">
        <w:trPr>
          <w:gridAfter w:val="1"/>
          <w:wAfter w:w="20" w:type="dxa"/>
          <w:trHeight w:val="30"/>
        </w:trPr>
        <w:tc>
          <w:tcPr>
            <w:tcW w:w="4424" w:type="dxa"/>
          </w:tcPr>
          <w:p w14:paraId="68D1EDA8"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Агрегированный индекс финансовой устойчивости страховых (перестраховочных) организаций</w:t>
            </w:r>
          </w:p>
        </w:tc>
        <w:tc>
          <w:tcPr>
            <w:tcW w:w="3402" w:type="dxa"/>
          </w:tcPr>
          <w:p w14:paraId="58972E41" w14:textId="77777777" w:rsidR="00724B07" w:rsidRPr="000B227F" w:rsidRDefault="00724B07" w:rsidP="00724B07">
            <w:pPr>
              <w:rPr>
                <w:rFonts w:ascii="Times New Roman" w:hAnsi="Times New Roman" w:cs="Times New Roman"/>
                <w:sz w:val="24"/>
                <w:szCs w:val="24"/>
              </w:rPr>
            </w:pPr>
            <w:r w:rsidRPr="000B227F">
              <w:rPr>
                <w:rFonts w:ascii="Times New Roman" w:hAnsi="Times New Roman" w:cs="Times New Roman"/>
                <w:sz w:val="24"/>
                <w:szCs w:val="24"/>
              </w:rPr>
              <w:t>Отчетность, предоставляемая страховыми организациями</w:t>
            </w:r>
          </w:p>
          <w:p w14:paraId="3AD666DB" w14:textId="77777777" w:rsidR="00724B07" w:rsidRPr="000B227F" w:rsidRDefault="00724B07" w:rsidP="00724B07">
            <w:pPr>
              <w:rPr>
                <w:rFonts w:ascii="Times New Roman" w:hAnsi="Times New Roman" w:cs="Times New Roman"/>
                <w:sz w:val="24"/>
                <w:szCs w:val="24"/>
              </w:rPr>
            </w:pPr>
          </w:p>
        </w:tc>
        <w:tc>
          <w:tcPr>
            <w:tcW w:w="1985" w:type="dxa"/>
          </w:tcPr>
          <w:p w14:paraId="4E34A0F8"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коэффициент</w:t>
            </w:r>
          </w:p>
        </w:tc>
        <w:tc>
          <w:tcPr>
            <w:tcW w:w="1559" w:type="dxa"/>
          </w:tcPr>
          <w:p w14:paraId="541039E3"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от 1 до 2,47</w:t>
            </w:r>
          </w:p>
        </w:tc>
        <w:tc>
          <w:tcPr>
            <w:tcW w:w="1134" w:type="dxa"/>
          </w:tcPr>
          <w:p w14:paraId="0D89939B"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1,45</w:t>
            </w:r>
          </w:p>
        </w:tc>
        <w:tc>
          <w:tcPr>
            <w:tcW w:w="2698" w:type="dxa"/>
          </w:tcPr>
          <w:p w14:paraId="71F0687D" w14:textId="77777777" w:rsidR="00724B07" w:rsidRPr="000B227F" w:rsidRDefault="00724B07" w:rsidP="00724B07">
            <w:pPr>
              <w:spacing w:after="0"/>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2EE572AE" w14:textId="77777777" w:rsidR="00724B07" w:rsidRPr="000B227F" w:rsidRDefault="00724B07" w:rsidP="005813D2">
            <w:pPr>
              <w:spacing w:after="0" w:line="240" w:lineRule="auto"/>
              <w:jc w:val="both"/>
              <w:rPr>
                <w:rFonts w:ascii="Times New Roman" w:eastAsia="Times New Roman" w:hAnsi="Times New Roman" w:cs="Times New Roman"/>
                <w:sz w:val="24"/>
                <w:szCs w:val="24"/>
                <w:lang w:eastAsia="ru-RU"/>
              </w:rPr>
            </w:pPr>
            <w:r w:rsidRPr="000B227F">
              <w:rPr>
                <w:rFonts w:ascii="Times New Roman" w:hAnsi="Times New Roman" w:cs="Times New Roman"/>
                <w:sz w:val="24"/>
                <w:szCs w:val="24"/>
              </w:rPr>
              <w:t>См. аналитическую записку</w:t>
            </w:r>
          </w:p>
        </w:tc>
      </w:tr>
      <w:tr w:rsidR="00724B07" w:rsidRPr="000B227F" w14:paraId="6ACA11BB" w14:textId="77777777" w:rsidTr="00724B07">
        <w:trPr>
          <w:trHeight w:val="30"/>
        </w:trPr>
        <w:tc>
          <w:tcPr>
            <w:tcW w:w="15222" w:type="dxa"/>
            <w:gridSpan w:val="7"/>
          </w:tcPr>
          <w:p w14:paraId="033030BA"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 xml:space="preserve">Стратегическое направление 2. Повышение эффективности финансового сектора для финансирования экономики </w:t>
            </w:r>
          </w:p>
        </w:tc>
      </w:tr>
      <w:tr w:rsidR="00724B07" w:rsidRPr="000B227F" w14:paraId="428DF6F2" w14:textId="77777777" w:rsidTr="00724B07">
        <w:trPr>
          <w:trHeight w:val="30"/>
        </w:trPr>
        <w:tc>
          <w:tcPr>
            <w:tcW w:w="15222" w:type="dxa"/>
            <w:gridSpan w:val="7"/>
          </w:tcPr>
          <w:p w14:paraId="65171BAF"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2. Повышение кредитования реального сектора экономики</w:t>
            </w:r>
          </w:p>
        </w:tc>
      </w:tr>
      <w:tr w:rsidR="00724B07" w:rsidRPr="000B227F" w14:paraId="209A6D91" w14:textId="77777777" w:rsidTr="00724B07">
        <w:trPr>
          <w:gridAfter w:val="1"/>
          <w:wAfter w:w="20" w:type="dxa"/>
          <w:trHeight w:val="30"/>
        </w:trPr>
        <w:tc>
          <w:tcPr>
            <w:tcW w:w="4424" w:type="dxa"/>
          </w:tcPr>
          <w:p w14:paraId="5B476ABE"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Рост ссудного портфеля банков</w:t>
            </w:r>
          </w:p>
        </w:tc>
        <w:tc>
          <w:tcPr>
            <w:tcW w:w="3402" w:type="dxa"/>
          </w:tcPr>
          <w:p w14:paraId="5DD6EA24" w14:textId="77777777" w:rsidR="00724B07" w:rsidRPr="000B227F" w:rsidRDefault="00724B07" w:rsidP="00724B07">
            <w:pPr>
              <w:rPr>
                <w:rFonts w:ascii="Times New Roman" w:hAnsi="Times New Roman" w:cs="Times New Roman"/>
                <w:sz w:val="24"/>
                <w:szCs w:val="24"/>
              </w:rPr>
            </w:pPr>
            <w:r w:rsidRPr="000B227F">
              <w:rPr>
                <w:rFonts w:ascii="Times New Roman" w:hAnsi="Times New Roman" w:cs="Times New Roman"/>
                <w:sz w:val="24"/>
                <w:szCs w:val="24"/>
              </w:rPr>
              <w:t>Отчетность, представляемая банками</w:t>
            </w:r>
          </w:p>
        </w:tc>
        <w:tc>
          <w:tcPr>
            <w:tcW w:w="1985" w:type="dxa"/>
          </w:tcPr>
          <w:p w14:paraId="18E14F3B"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w:t>
            </w:r>
          </w:p>
        </w:tc>
        <w:tc>
          <w:tcPr>
            <w:tcW w:w="1559" w:type="dxa"/>
          </w:tcPr>
          <w:p w14:paraId="16A95058"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от 2,5 до 3</w:t>
            </w:r>
          </w:p>
        </w:tc>
        <w:tc>
          <w:tcPr>
            <w:tcW w:w="1134" w:type="dxa"/>
          </w:tcPr>
          <w:p w14:paraId="787C0580"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7,1</w:t>
            </w:r>
          </w:p>
        </w:tc>
        <w:tc>
          <w:tcPr>
            <w:tcW w:w="2698" w:type="dxa"/>
          </w:tcPr>
          <w:p w14:paraId="48EBEEEB" w14:textId="77777777" w:rsidR="00724B07" w:rsidRPr="000B227F" w:rsidRDefault="00724B07" w:rsidP="00724B07">
            <w:pPr>
              <w:spacing w:after="0"/>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1E398B1C" w14:textId="77777777" w:rsidR="00724B07" w:rsidRPr="000B227F" w:rsidRDefault="00724B07" w:rsidP="005813D2">
            <w:pPr>
              <w:tabs>
                <w:tab w:val="left" w:pos="993"/>
              </w:tabs>
              <w:autoSpaceDE w:val="0"/>
              <w:autoSpaceDN w:val="0"/>
              <w:adjustRightInd w:val="0"/>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 xml:space="preserve">См. аналитическую записку </w:t>
            </w:r>
          </w:p>
        </w:tc>
      </w:tr>
      <w:tr w:rsidR="00724B07" w:rsidRPr="000B227F" w14:paraId="1EF4F2C4" w14:textId="77777777" w:rsidTr="00724B07">
        <w:trPr>
          <w:gridAfter w:val="1"/>
          <w:wAfter w:w="20" w:type="dxa"/>
          <w:trHeight w:val="30"/>
        </w:trPr>
        <w:tc>
          <w:tcPr>
            <w:tcW w:w="4424" w:type="dxa"/>
          </w:tcPr>
          <w:p w14:paraId="5F6A1696" w14:textId="77777777" w:rsidR="00724B07" w:rsidRPr="000B227F" w:rsidRDefault="00724B07" w:rsidP="005813D2">
            <w:pPr>
              <w:rPr>
                <w:rFonts w:ascii="Times New Roman" w:hAnsi="Times New Roman" w:cs="Times New Roman"/>
                <w:bCs/>
                <w:sz w:val="24"/>
                <w:szCs w:val="24"/>
              </w:rPr>
            </w:pPr>
            <w:r w:rsidRPr="000B227F">
              <w:rPr>
                <w:rFonts w:ascii="Times New Roman" w:hAnsi="Times New Roman" w:cs="Times New Roman"/>
                <w:sz w:val="24"/>
                <w:szCs w:val="24"/>
              </w:rPr>
              <w:t xml:space="preserve">Количество новых зарегистрированных выпусков ценных бумаг </w:t>
            </w:r>
          </w:p>
        </w:tc>
        <w:tc>
          <w:tcPr>
            <w:tcW w:w="3402" w:type="dxa"/>
          </w:tcPr>
          <w:p w14:paraId="03F15A34" w14:textId="77777777" w:rsidR="00724B07" w:rsidRPr="000B227F" w:rsidRDefault="00724B07" w:rsidP="00724B07">
            <w:pPr>
              <w:rPr>
                <w:rFonts w:ascii="Times New Roman" w:hAnsi="Times New Roman" w:cs="Times New Roman"/>
                <w:sz w:val="24"/>
                <w:szCs w:val="24"/>
              </w:rPr>
            </w:pPr>
            <w:r w:rsidRPr="000B227F">
              <w:rPr>
                <w:rFonts w:ascii="Times New Roman" w:hAnsi="Times New Roman" w:cs="Times New Roman"/>
                <w:sz w:val="24"/>
                <w:szCs w:val="24"/>
              </w:rPr>
              <w:t>Государственный реестр эмиссионных ценных бумаг</w:t>
            </w:r>
          </w:p>
        </w:tc>
        <w:tc>
          <w:tcPr>
            <w:tcW w:w="1985" w:type="dxa"/>
          </w:tcPr>
          <w:p w14:paraId="5D1E2AF8"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Количество выпусков ценных бумаг</w:t>
            </w:r>
          </w:p>
        </w:tc>
        <w:tc>
          <w:tcPr>
            <w:tcW w:w="1559" w:type="dxa"/>
          </w:tcPr>
          <w:p w14:paraId="69636121" w14:textId="77777777" w:rsidR="00724B07" w:rsidRPr="000B227F" w:rsidRDefault="00724B07" w:rsidP="005813D2">
            <w:pPr>
              <w:rPr>
                <w:rFonts w:ascii="Times New Roman" w:hAnsi="Times New Roman" w:cs="Times New Roman"/>
                <w:sz w:val="24"/>
                <w:szCs w:val="24"/>
                <w:lang w:val="en-US"/>
              </w:rPr>
            </w:pPr>
            <w:r w:rsidRPr="000B227F">
              <w:rPr>
                <w:rFonts w:ascii="Times New Roman" w:hAnsi="Times New Roman" w:cs="Times New Roman"/>
                <w:sz w:val="24"/>
                <w:szCs w:val="24"/>
              </w:rPr>
              <w:t xml:space="preserve">не менее </w:t>
            </w:r>
            <w:r w:rsidRPr="000B227F">
              <w:rPr>
                <w:rFonts w:ascii="Times New Roman" w:hAnsi="Times New Roman" w:cs="Times New Roman"/>
                <w:sz w:val="24"/>
                <w:szCs w:val="24"/>
                <w:lang w:val="en-US"/>
              </w:rPr>
              <w:t>6</w:t>
            </w:r>
          </w:p>
        </w:tc>
        <w:tc>
          <w:tcPr>
            <w:tcW w:w="1134" w:type="dxa"/>
          </w:tcPr>
          <w:p w14:paraId="2492248E" w14:textId="77777777" w:rsidR="00724B07" w:rsidRPr="000B227F" w:rsidRDefault="00724B07" w:rsidP="005813D2">
            <w:pPr>
              <w:spacing w:after="0" w:line="240" w:lineRule="auto"/>
              <w:ind w:firstLine="34"/>
              <w:jc w:val="center"/>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112</w:t>
            </w:r>
          </w:p>
        </w:tc>
        <w:tc>
          <w:tcPr>
            <w:tcW w:w="2698" w:type="dxa"/>
          </w:tcPr>
          <w:p w14:paraId="15910ED7" w14:textId="77777777" w:rsidR="00724B07" w:rsidRPr="000B227F" w:rsidRDefault="00724B07" w:rsidP="00724B07">
            <w:pPr>
              <w:spacing w:after="0" w:line="240" w:lineRule="auto"/>
              <w:jc w:val="center"/>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Исполнено</w:t>
            </w:r>
          </w:p>
          <w:p w14:paraId="78F30ADF" w14:textId="77777777" w:rsidR="00724B07" w:rsidRPr="000B227F" w:rsidRDefault="00724B07" w:rsidP="005813D2">
            <w:pPr>
              <w:spacing w:after="0" w:line="240" w:lineRule="auto"/>
              <w:jc w:val="both"/>
              <w:rPr>
                <w:rFonts w:ascii="Times New Roman" w:eastAsia="Times New Roman" w:hAnsi="Times New Roman" w:cs="Times New Roman"/>
                <w:sz w:val="24"/>
                <w:szCs w:val="24"/>
                <w:lang w:eastAsia="ru-RU"/>
              </w:rPr>
            </w:pPr>
            <w:r w:rsidRPr="000B227F">
              <w:rPr>
                <w:rFonts w:ascii="Times New Roman" w:hAnsi="Times New Roman" w:cs="Times New Roman"/>
                <w:sz w:val="24"/>
                <w:szCs w:val="24"/>
              </w:rPr>
              <w:t>См. аналитическую записку</w:t>
            </w:r>
            <w:r w:rsidRPr="000B227F">
              <w:rPr>
                <w:rFonts w:ascii="Times New Roman" w:eastAsia="Times New Roman" w:hAnsi="Times New Roman" w:cs="Times New Roman"/>
                <w:sz w:val="24"/>
                <w:szCs w:val="24"/>
                <w:lang w:eastAsia="ru-RU"/>
              </w:rPr>
              <w:t xml:space="preserve"> </w:t>
            </w:r>
          </w:p>
        </w:tc>
      </w:tr>
      <w:tr w:rsidR="00724B07" w:rsidRPr="000B227F" w14:paraId="2BF0B1E1" w14:textId="77777777" w:rsidTr="00724B07">
        <w:trPr>
          <w:trHeight w:val="30"/>
        </w:trPr>
        <w:tc>
          <w:tcPr>
            <w:tcW w:w="15222" w:type="dxa"/>
            <w:gridSpan w:val="7"/>
          </w:tcPr>
          <w:p w14:paraId="36121675" w14:textId="77777777" w:rsidR="00724B07" w:rsidRPr="000B227F" w:rsidRDefault="00724B07" w:rsidP="005813D2">
            <w:pPr>
              <w:spacing w:after="0" w:line="240" w:lineRule="auto"/>
              <w:ind w:firstLine="320"/>
              <w:jc w:val="center"/>
              <w:rPr>
                <w:rFonts w:ascii="Times New Roman" w:eastAsia="Times New Roman" w:hAnsi="Times New Roman" w:cs="Times New Roman"/>
                <w:b/>
                <w:sz w:val="24"/>
                <w:szCs w:val="24"/>
                <w:lang w:eastAsia="ru-RU"/>
              </w:rPr>
            </w:pPr>
            <w:r w:rsidRPr="000B227F">
              <w:rPr>
                <w:rFonts w:ascii="Times New Roman" w:eastAsia="Times New Roman" w:hAnsi="Times New Roman" w:cs="Times New Roman"/>
                <w:b/>
                <w:sz w:val="24"/>
                <w:szCs w:val="24"/>
                <w:lang w:eastAsia="ru-RU"/>
              </w:rPr>
              <w:lastRenderedPageBreak/>
              <w:t xml:space="preserve">Стратегическое направление 3. Защита прав потребителей финансовых услуг, повышение финансовой доступности </w:t>
            </w:r>
          </w:p>
          <w:p w14:paraId="6EF44464" w14:textId="77777777" w:rsidR="00724B07" w:rsidRPr="000B227F" w:rsidRDefault="00724B07" w:rsidP="005813D2">
            <w:pPr>
              <w:spacing w:after="0" w:line="240" w:lineRule="auto"/>
              <w:ind w:firstLine="320"/>
              <w:jc w:val="center"/>
              <w:rPr>
                <w:rFonts w:ascii="Times New Roman" w:eastAsia="Times New Roman" w:hAnsi="Times New Roman" w:cs="Times New Roman"/>
                <w:b/>
                <w:sz w:val="24"/>
                <w:szCs w:val="24"/>
                <w:lang w:eastAsia="ru-RU"/>
              </w:rPr>
            </w:pPr>
            <w:r w:rsidRPr="000B227F">
              <w:rPr>
                <w:rFonts w:ascii="Times New Roman" w:eastAsia="Times New Roman" w:hAnsi="Times New Roman" w:cs="Times New Roman"/>
                <w:b/>
                <w:sz w:val="24"/>
                <w:szCs w:val="24"/>
                <w:lang w:eastAsia="ru-RU"/>
              </w:rPr>
              <w:t>и финансовой грамотности</w:t>
            </w:r>
          </w:p>
        </w:tc>
      </w:tr>
      <w:tr w:rsidR="00724B07" w:rsidRPr="000B227F" w14:paraId="2691E18F" w14:textId="77777777" w:rsidTr="00724B07">
        <w:trPr>
          <w:trHeight w:val="30"/>
        </w:trPr>
        <w:tc>
          <w:tcPr>
            <w:tcW w:w="15222" w:type="dxa"/>
            <w:gridSpan w:val="7"/>
          </w:tcPr>
          <w:p w14:paraId="4BE4E0D3" w14:textId="77777777" w:rsidR="00724B07" w:rsidRPr="000B227F" w:rsidRDefault="00724B07" w:rsidP="005813D2">
            <w:pPr>
              <w:spacing w:after="0" w:line="240" w:lineRule="auto"/>
              <w:ind w:firstLine="320"/>
              <w:jc w:val="center"/>
              <w:rPr>
                <w:rFonts w:ascii="Times New Roman" w:eastAsia="Times New Roman" w:hAnsi="Times New Roman" w:cs="Times New Roman"/>
                <w:b/>
                <w:sz w:val="24"/>
                <w:szCs w:val="24"/>
                <w:lang w:eastAsia="ru-RU"/>
              </w:rPr>
            </w:pPr>
            <w:r w:rsidRPr="000B227F">
              <w:rPr>
                <w:rFonts w:ascii="Times New Roman" w:eastAsia="Times New Roman" w:hAnsi="Times New Roman" w:cs="Times New Roman"/>
                <w:b/>
                <w:sz w:val="24"/>
                <w:szCs w:val="24"/>
                <w:lang w:eastAsia="ru-RU"/>
              </w:rPr>
              <w:t>Цель 3. Повышение вовлеченности граждан в финансовый сектор и финансовой грамотности населения</w:t>
            </w:r>
          </w:p>
        </w:tc>
      </w:tr>
      <w:tr w:rsidR="00724B07" w:rsidRPr="000B227F" w14:paraId="4824D947" w14:textId="77777777" w:rsidTr="00724B07">
        <w:trPr>
          <w:gridAfter w:val="1"/>
          <w:wAfter w:w="20" w:type="dxa"/>
          <w:trHeight w:val="30"/>
        </w:trPr>
        <w:tc>
          <w:tcPr>
            <w:tcW w:w="4424" w:type="dxa"/>
          </w:tcPr>
          <w:p w14:paraId="4586FBCC"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Индекс финансовой грамотности</w:t>
            </w:r>
          </w:p>
        </w:tc>
        <w:tc>
          <w:tcPr>
            <w:tcW w:w="3402" w:type="dxa"/>
          </w:tcPr>
          <w:p w14:paraId="66769A92" w14:textId="77777777" w:rsidR="00724B07" w:rsidRPr="000B227F" w:rsidRDefault="00724B07" w:rsidP="00724B07">
            <w:pPr>
              <w:autoSpaceDE w:val="0"/>
              <w:autoSpaceDN w:val="0"/>
              <w:adjustRightInd w:val="0"/>
              <w:spacing w:after="0" w:line="240" w:lineRule="auto"/>
              <w:ind w:left="15"/>
              <w:rPr>
                <w:rFonts w:ascii="Times New Roman" w:hAnsi="Times New Roman" w:cs="Times New Roman"/>
                <w:sz w:val="24"/>
                <w:szCs w:val="24"/>
              </w:rPr>
            </w:pPr>
            <w:r w:rsidRPr="000B227F">
              <w:rPr>
                <w:rFonts w:ascii="Times New Roman" w:hAnsi="Times New Roman" w:cs="Times New Roman"/>
                <w:sz w:val="24"/>
                <w:szCs w:val="24"/>
              </w:rPr>
              <w:t>Социологическое исследование уровня финансовой грамотности населения</w:t>
            </w:r>
          </w:p>
        </w:tc>
        <w:tc>
          <w:tcPr>
            <w:tcW w:w="1985" w:type="dxa"/>
          </w:tcPr>
          <w:p w14:paraId="6F14CE98" w14:textId="77777777" w:rsidR="00724B07" w:rsidRPr="000B227F" w:rsidRDefault="00724B07" w:rsidP="005813D2">
            <w:pPr>
              <w:autoSpaceDE w:val="0"/>
              <w:autoSpaceDN w:val="0"/>
              <w:adjustRightInd w:val="0"/>
              <w:ind w:left="15"/>
              <w:jc w:val="center"/>
              <w:rPr>
                <w:rFonts w:ascii="Times New Roman" w:hAnsi="Times New Roman" w:cs="Times New Roman"/>
                <w:sz w:val="24"/>
                <w:szCs w:val="24"/>
              </w:rPr>
            </w:pPr>
            <w:r w:rsidRPr="000B227F">
              <w:rPr>
                <w:rFonts w:ascii="Times New Roman" w:hAnsi="Times New Roman" w:cs="Times New Roman"/>
                <w:sz w:val="24"/>
                <w:szCs w:val="24"/>
              </w:rPr>
              <w:t>%</w:t>
            </w:r>
          </w:p>
        </w:tc>
        <w:tc>
          <w:tcPr>
            <w:tcW w:w="1559" w:type="dxa"/>
          </w:tcPr>
          <w:p w14:paraId="0C468B38"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37</w:t>
            </w:r>
          </w:p>
        </w:tc>
        <w:tc>
          <w:tcPr>
            <w:tcW w:w="1134" w:type="dxa"/>
          </w:tcPr>
          <w:p w14:paraId="09578956" w14:textId="77777777" w:rsidR="00724B07" w:rsidRPr="000B227F" w:rsidRDefault="00724B07" w:rsidP="005813D2">
            <w:pPr>
              <w:spacing w:after="0" w:line="240" w:lineRule="auto"/>
              <w:ind w:firstLine="34"/>
              <w:jc w:val="center"/>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39,07</w:t>
            </w:r>
          </w:p>
        </w:tc>
        <w:tc>
          <w:tcPr>
            <w:tcW w:w="2698" w:type="dxa"/>
          </w:tcPr>
          <w:p w14:paraId="7E3C5F3C" w14:textId="77777777" w:rsidR="00724B07" w:rsidRPr="000B227F" w:rsidRDefault="00724B07" w:rsidP="00724B07">
            <w:pPr>
              <w:spacing w:after="0" w:line="240" w:lineRule="auto"/>
              <w:jc w:val="center"/>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Исполнено</w:t>
            </w:r>
          </w:p>
          <w:p w14:paraId="6D1E8D6F" w14:textId="77777777" w:rsidR="00724B07" w:rsidRPr="000B227F" w:rsidRDefault="00724B07" w:rsidP="005813D2">
            <w:pPr>
              <w:tabs>
                <w:tab w:val="left" w:pos="436"/>
                <w:tab w:val="left" w:pos="604"/>
              </w:tabs>
              <w:spacing w:after="0" w:line="240" w:lineRule="auto"/>
              <w:jc w:val="both"/>
              <w:rPr>
                <w:rFonts w:ascii="Times New Roman" w:eastAsia="Times New Roman" w:hAnsi="Times New Roman" w:cs="Times New Roman"/>
                <w:sz w:val="24"/>
                <w:szCs w:val="24"/>
                <w:lang w:eastAsia="ru-RU"/>
              </w:rPr>
            </w:pPr>
            <w:r w:rsidRPr="000B227F">
              <w:rPr>
                <w:rFonts w:ascii="Times New Roman" w:hAnsi="Times New Roman" w:cs="Times New Roman"/>
                <w:sz w:val="24"/>
                <w:szCs w:val="24"/>
              </w:rPr>
              <w:t>См. аналитическую записку</w:t>
            </w:r>
            <w:r w:rsidRPr="000B227F">
              <w:rPr>
                <w:rFonts w:ascii="Times New Roman" w:eastAsia="Times New Roman" w:hAnsi="Times New Roman" w:cs="Times New Roman"/>
                <w:sz w:val="24"/>
                <w:szCs w:val="24"/>
                <w:lang w:eastAsia="ru-RU"/>
              </w:rPr>
              <w:t xml:space="preserve"> </w:t>
            </w:r>
          </w:p>
        </w:tc>
      </w:tr>
      <w:tr w:rsidR="00724B07" w:rsidRPr="000B227F" w14:paraId="31530C06" w14:textId="77777777" w:rsidTr="00724B07">
        <w:trPr>
          <w:trHeight w:val="30"/>
        </w:trPr>
        <w:tc>
          <w:tcPr>
            <w:tcW w:w="15222" w:type="dxa"/>
            <w:gridSpan w:val="7"/>
          </w:tcPr>
          <w:p w14:paraId="48B05FAB"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4. Конкуренция</w:t>
            </w:r>
          </w:p>
        </w:tc>
      </w:tr>
      <w:tr w:rsidR="00724B07" w:rsidRPr="000B227F" w14:paraId="7391EC0B" w14:textId="77777777" w:rsidTr="00724B07">
        <w:trPr>
          <w:trHeight w:val="251"/>
        </w:trPr>
        <w:tc>
          <w:tcPr>
            <w:tcW w:w="15222" w:type="dxa"/>
            <w:gridSpan w:val="7"/>
          </w:tcPr>
          <w:p w14:paraId="5A01010B"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4. Активизация страхового рынка</w:t>
            </w:r>
          </w:p>
        </w:tc>
      </w:tr>
      <w:tr w:rsidR="00724B07" w:rsidRPr="000B227F" w14:paraId="0C7C2965" w14:textId="77777777" w:rsidTr="00724B07">
        <w:trPr>
          <w:gridAfter w:val="1"/>
          <w:wAfter w:w="20" w:type="dxa"/>
          <w:trHeight w:val="30"/>
        </w:trPr>
        <w:tc>
          <w:tcPr>
            <w:tcW w:w="4424" w:type="dxa"/>
          </w:tcPr>
          <w:p w14:paraId="40195529" w14:textId="77777777" w:rsidR="00724B07" w:rsidRPr="000B227F" w:rsidRDefault="00724B07" w:rsidP="005813D2">
            <w:pPr>
              <w:spacing w:after="0"/>
              <w:rPr>
                <w:rFonts w:ascii="Times New Roman" w:hAnsi="Times New Roman" w:cs="Times New Roman"/>
                <w:sz w:val="24"/>
                <w:szCs w:val="24"/>
              </w:rPr>
            </w:pPr>
            <w:r w:rsidRPr="000B227F">
              <w:rPr>
                <w:rFonts w:ascii="Times New Roman" w:hAnsi="Times New Roman" w:cs="Times New Roman"/>
                <w:bCs/>
                <w:sz w:val="24"/>
                <w:szCs w:val="24"/>
              </w:rPr>
              <w:t>Индекс развития страхового рынка</w:t>
            </w:r>
          </w:p>
        </w:tc>
        <w:tc>
          <w:tcPr>
            <w:tcW w:w="3402" w:type="dxa"/>
          </w:tcPr>
          <w:p w14:paraId="26E4E6C7" w14:textId="77777777" w:rsidR="00724B07" w:rsidRPr="000B227F" w:rsidRDefault="00724B07" w:rsidP="00724B07">
            <w:pPr>
              <w:spacing w:after="0"/>
              <w:rPr>
                <w:rFonts w:ascii="Times New Roman" w:hAnsi="Times New Roman" w:cs="Times New Roman"/>
                <w:sz w:val="24"/>
                <w:szCs w:val="24"/>
              </w:rPr>
            </w:pPr>
            <w:r w:rsidRPr="000B227F">
              <w:rPr>
                <w:rFonts w:ascii="Times New Roman" w:hAnsi="Times New Roman" w:cs="Times New Roman"/>
                <w:sz w:val="24"/>
                <w:szCs w:val="24"/>
              </w:rPr>
              <w:t>Отчетность, предоставляемая страховыми организациями</w:t>
            </w:r>
          </w:p>
          <w:p w14:paraId="367634D0" w14:textId="77777777" w:rsidR="00724B07" w:rsidRPr="000B227F" w:rsidRDefault="00724B07" w:rsidP="005813D2">
            <w:pPr>
              <w:spacing w:after="0"/>
              <w:jc w:val="center"/>
              <w:rPr>
                <w:rFonts w:ascii="Times New Roman" w:hAnsi="Times New Roman" w:cs="Times New Roman"/>
                <w:sz w:val="24"/>
                <w:szCs w:val="24"/>
              </w:rPr>
            </w:pPr>
          </w:p>
          <w:p w14:paraId="6FD4E534" w14:textId="77777777" w:rsidR="00724B07" w:rsidRPr="000B227F" w:rsidRDefault="00724B07" w:rsidP="005813D2">
            <w:pPr>
              <w:spacing w:after="0"/>
              <w:jc w:val="center"/>
              <w:rPr>
                <w:rFonts w:ascii="Times New Roman" w:hAnsi="Times New Roman" w:cs="Times New Roman"/>
                <w:sz w:val="24"/>
                <w:szCs w:val="24"/>
              </w:rPr>
            </w:pPr>
          </w:p>
        </w:tc>
        <w:tc>
          <w:tcPr>
            <w:tcW w:w="1985" w:type="dxa"/>
          </w:tcPr>
          <w:p w14:paraId="5569ED55" w14:textId="77777777" w:rsidR="00724B07" w:rsidRPr="000B227F" w:rsidRDefault="00724B07" w:rsidP="005813D2">
            <w:pPr>
              <w:spacing w:after="0"/>
              <w:jc w:val="center"/>
              <w:rPr>
                <w:rFonts w:ascii="Times New Roman" w:hAnsi="Times New Roman" w:cs="Times New Roman"/>
                <w:sz w:val="24"/>
                <w:szCs w:val="24"/>
              </w:rPr>
            </w:pPr>
            <w:r w:rsidRPr="000B227F">
              <w:rPr>
                <w:rFonts w:ascii="Times New Roman" w:hAnsi="Times New Roman" w:cs="Times New Roman"/>
                <w:sz w:val="24"/>
                <w:szCs w:val="24"/>
              </w:rPr>
              <w:t>коэффициент</w:t>
            </w:r>
          </w:p>
        </w:tc>
        <w:tc>
          <w:tcPr>
            <w:tcW w:w="1559" w:type="dxa"/>
          </w:tcPr>
          <w:p w14:paraId="5BC2B004" w14:textId="77777777" w:rsidR="00724B07" w:rsidRPr="000B227F" w:rsidRDefault="00724B07" w:rsidP="005813D2">
            <w:pPr>
              <w:spacing w:after="0"/>
              <w:jc w:val="center"/>
              <w:rPr>
                <w:rFonts w:ascii="Times New Roman" w:hAnsi="Times New Roman" w:cs="Times New Roman"/>
                <w:sz w:val="24"/>
                <w:szCs w:val="24"/>
              </w:rPr>
            </w:pPr>
            <w:r w:rsidRPr="000B227F">
              <w:rPr>
                <w:rFonts w:ascii="Times New Roman" w:hAnsi="Times New Roman" w:cs="Times New Roman"/>
                <w:bCs/>
                <w:sz w:val="24"/>
                <w:szCs w:val="24"/>
              </w:rPr>
              <w:t>от 1 до 2,47</w:t>
            </w:r>
          </w:p>
        </w:tc>
        <w:tc>
          <w:tcPr>
            <w:tcW w:w="1134" w:type="dxa"/>
          </w:tcPr>
          <w:p w14:paraId="56E776FF" w14:textId="77777777" w:rsidR="00724B07" w:rsidRPr="000B227F" w:rsidRDefault="00724B07" w:rsidP="005813D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0B227F">
              <w:rPr>
                <w:rFonts w:ascii="Times New Roman" w:hAnsi="Times New Roman" w:cs="Times New Roman"/>
                <w:bCs/>
                <w:sz w:val="24"/>
                <w:szCs w:val="24"/>
              </w:rPr>
              <w:t>1,75</w:t>
            </w:r>
          </w:p>
        </w:tc>
        <w:tc>
          <w:tcPr>
            <w:tcW w:w="2698" w:type="dxa"/>
          </w:tcPr>
          <w:p w14:paraId="08CD03E9" w14:textId="77777777" w:rsidR="00724B07" w:rsidRPr="000B227F" w:rsidRDefault="00724B07" w:rsidP="00724B07">
            <w:pPr>
              <w:tabs>
                <w:tab w:val="left" w:pos="436"/>
                <w:tab w:val="left" w:pos="604"/>
              </w:tabs>
              <w:spacing w:after="0" w:line="240" w:lineRule="auto"/>
              <w:jc w:val="center"/>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Исполнено</w:t>
            </w:r>
          </w:p>
          <w:p w14:paraId="3C1BAB01" w14:textId="77777777" w:rsidR="00724B07" w:rsidRPr="000B227F" w:rsidRDefault="00724B07" w:rsidP="005813D2">
            <w:pPr>
              <w:spacing w:after="0" w:line="240" w:lineRule="auto"/>
              <w:jc w:val="both"/>
              <w:rPr>
                <w:rFonts w:ascii="Times New Roman" w:eastAsia="Times New Roman" w:hAnsi="Times New Roman" w:cs="Times New Roman"/>
                <w:sz w:val="24"/>
                <w:szCs w:val="24"/>
                <w:lang w:eastAsia="ru-RU"/>
              </w:rPr>
            </w:pPr>
            <w:r w:rsidRPr="000B227F">
              <w:rPr>
                <w:rFonts w:ascii="Times New Roman" w:hAnsi="Times New Roman" w:cs="Times New Roman"/>
                <w:sz w:val="24"/>
                <w:szCs w:val="24"/>
              </w:rPr>
              <w:t>См. аналитическую записку</w:t>
            </w:r>
          </w:p>
        </w:tc>
      </w:tr>
      <w:tr w:rsidR="00724B07" w:rsidRPr="000B227F" w14:paraId="2786B1D5" w14:textId="77777777" w:rsidTr="00724B07">
        <w:trPr>
          <w:trHeight w:val="30"/>
        </w:trPr>
        <w:tc>
          <w:tcPr>
            <w:tcW w:w="15222" w:type="dxa"/>
            <w:gridSpan w:val="7"/>
          </w:tcPr>
          <w:p w14:paraId="124CCDFA"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 xml:space="preserve">Стратегическое направление 5. Применение новых технологий на финансовом рынке, </w:t>
            </w:r>
            <w:proofErr w:type="spellStart"/>
            <w:r w:rsidRPr="000B227F">
              <w:rPr>
                <w:rFonts w:ascii="Times New Roman" w:hAnsi="Times New Roman" w:cs="Times New Roman"/>
                <w:b/>
                <w:sz w:val="24"/>
                <w:szCs w:val="24"/>
              </w:rPr>
              <w:t>цифровизация</w:t>
            </w:r>
            <w:proofErr w:type="spellEnd"/>
            <w:r w:rsidRPr="000B227F">
              <w:rPr>
                <w:rFonts w:ascii="Times New Roman" w:hAnsi="Times New Roman" w:cs="Times New Roman"/>
                <w:b/>
                <w:sz w:val="24"/>
                <w:szCs w:val="24"/>
              </w:rPr>
              <w:t xml:space="preserve"> финансовых услуг</w:t>
            </w:r>
          </w:p>
        </w:tc>
      </w:tr>
      <w:tr w:rsidR="00724B07" w:rsidRPr="000B227F" w14:paraId="282A1E56" w14:textId="77777777" w:rsidTr="00724B07">
        <w:trPr>
          <w:trHeight w:val="30"/>
        </w:trPr>
        <w:tc>
          <w:tcPr>
            <w:tcW w:w="15222" w:type="dxa"/>
            <w:gridSpan w:val="7"/>
          </w:tcPr>
          <w:p w14:paraId="75611330"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 xml:space="preserve">Цель 5. Упрощение процедур идентификации клиентов </w:t>
            </w:r>
          </w:p>
        </w:tc>
      </w:tr>
      <w:tr w:rsidR="00724B07" w:rsidRPr="000B227F" w14:paraId="39C30EF0" w14:textId="77777777" w:rsidTr="00724B07">
        <w:trPr>
          <w:gridAfter w:val="1"/>
          <w:wAfter w:w="20" w:type="dxa"/>
          <w:trHeight w:val="30"/>
        </w:trPr>
        <w:tc>
          <w:tcPr>
            <w:tcW w:w="4424" w:type="dxa"/>
          </w:tcPr>
          <w:p w14:paraId="72DA937E"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Доля новых клиентов БВУ, прошедших первичную идентификацию удаленным способом</w:t>
            </w:r>
          </w:p>
        </w:tc>
        <w:tc>
          <w:tcPr>
            <w:tcW w:w="3402" w:type="dxa"/>
          </w:tcPr>
          <w:p w14:paraId="46594933" w14:textId="7F90CF03" w:rsidR="00724B07" w:rsidRPr="000B227F" w:rsidRDefault="00724B07" w:rsidP="00724B07">
            <w:pPr>
              <w:rPr>
                <w:rFonts w:ascii="Times New Roman" w:hAnsi="Times New Roman" w:cs="Times New Roman"/>
                <w:sz w:val="24"/>
                <w:szCs w:val="24"/>
              </w:rPr>
            </w:pPr>
            <w:r w:rsidRPr="000B227F">
              <w:rPr>
                <w:rFonts w:ascii="Times New Roman" w:hAnsi="Times New Roman" w:cs="Times New Roman"/>
                <w:sz w:val="24"/>
                <w:szCs w:val="24"/>
              </w:rPr>
              <w:t>Информация банков</w:t>
            </w:r>
          </w:p>
        </w:tc>
        <w:tc>
          <w:tcPr>
            <w:tcW w:w="1985" w:type="dxa"/>
          </w:tcPr>
          <w:p w14:paraId="6A5A1040"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w:t>
            </w:r>
          </w:p>
        </w:tc>
        <w:tc>
          <w:tcPr>
            <w:tcW w:w="1559" w:type="dxa"/>
          </w:tcPr>
          <w:p w14:paraId="1C2E6894"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10</w:t>
            </w:r>
          </w:p>
        </w:tc>
        <w:tc>
          <w:tcPr>
            <w:tcW w:w="1134" w:type="dxa"/>
          </w:tcPr>
          <w:p w14:paraId="3B6EBCE0"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15,8</w:t>
            </w:r>
          </w:p>
        </w:tc>
        <w:tc>
          <w:tcPr>
            <w:tcW w:w="2698" w:type="dxa"/>
          </w:tcPr>
          <w:p w14:paraId="22509F50" w14:textId="77777777" w:rsidR="00724B07" w:rsidRPr="000B227F" w:rsidRDefault="00724B07" w:rsidP="00724B07">
            <w:pPr>
              <w:spacing w:after="0"/>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09FC93E9" w14:textId="77777777" w:rsidR="00724B07" w:rsidRPr="000B227F" w:rsidRDefault="00724B07" w:rsidP="005813D2">
            <w:pPr>
              <w:tabs>
                <w:tab w:val="left" w:pos="436"/>
                <w:tab w:val="left" w:pos="604"/>
              </w:tabs>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 xml:space="preserve">См. аналитическую записку </w:t>
            </w:r>
          </w:p>
        </w:tc>
      </w:tr>
      <w:tr w:rsidR="00724B07" w:rsidRPr="000B227F" w14:paraId="05E4A4E5" w14:textId="77777777" w:rsidTr="00724B07">
        <w:trPr>
          <w:trHeight w:val="325"/>
        </w:trPr>
        <w:tc>
          <w:tcPr>
            <w:tcW w:w="15222" w:type="dxa"/>
            <w:gridSpan w:val="7"/>
          </w:tcPr>
          <w:p w14:paraId="0B20D6FF"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6. Развитие системы микрофинансирования</w:t>
            </w:r>
          </w:p>
        </w:tc>
      </w:tr>
      <w:tr w:rsidR="00724B07" w:rsidRPr="000B227F" w14:paraId="3F492B58" w14:textId="77777777" w:rsidTr="00724B07">
        <w:trPr>
          <w:trHeight w:val="30"/>
        </w:trPr>
        <w:tc>
          <w:tcPr>
            <w:tcW w:w="15222" w:type="dxa"/>
            <w:gridSpan w:val="7"/>
          </w:tcPr>
          <w:p w14:paraId="2F9697C5"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 xml:space="preserve">Цель 6. Совершенствование регулирования </w:t>
            </w:r>
            <w:r w:rsidRPr="000B227F">
              <w:rPr>
                <w:rFonts w:ascii="Times New Roman" w:hAnsi="Times New Roman" w:cs="Times New Roman"/>
                <w:b/>
                <w:bCs/>
                <w:iCs/>
                <w:sz w:val="24"/>
                <w:szCs w:val="24"/>
              </w:rPr>
              <w:t xml:space="preserve">организаций, осуществляющих </w:t>
            </w:r>
            <w:proofErr w:type="spellStart"/>
            <w:r w:rsidRPr="000B227F">
              <w:rPr>
                <w:rFonts w:ascii="Times New Roman" w:hAnsi="Times New Roman" w:cs="Times New Roman"/>
                <w:b/>
                <w:bCs/>
                <w:iCs/>
                <w:sz w:val="24"/>
                <w:szCs w:val="24"/>
              </w:rPr>
              <w:t>микрофинансовую</w:t>
            </w:r>
            <w:proofErr w:type="spellEnd"/>
            <w:r w:rsidRPr="000B227F">
              <w:rPr>
                <w:rFonts w:ascii="Times New Roman" w:hAnsi="Times New Roman" w:cs="Times New Roman"/>
                <w:b/>
                <w:bCs/>
                <w:iCs/>
                <w:sz w:val="24"/>
                <w:szCs w:val="24"/>
              </w:rPr>
              <w:t xml:space="preserve"> деятельность</w:t>
            </w:r>
          </w:p>
        </w:tc>
      </w:tr>
      <w:tr w:rsidR="00724B07" w:rsidRPr="000B227F" w14:paraId="4997D28B" w14:textId="77777777" w:rsidTr="00724B07">
        <w:trPr>
          <w:gridAfter w:val="1"/>
          <w:wAfter w:w="20" w:type="dxa"/>
          <w:trHeight w:val="30"/>
        </w:trPr>
        <w:tc>
          <w:tcPr>
            <w:tcW w:w="4424" w:type="dxa"/>
          </w:tcPr>
          <w:p w14:paraId="7510B372" w14:textId="77777777" w:rsidR="00724B07" w:rsidRPr="000B227F" w:rsidRDefault="00724B07" w:rsidP="005813D2">
            <w:pPr>
              <w:spacing w:after="0"/>
              <w:rPr>
                <w:rFonts w:ascii="Times New Roman" w:hAnsi="Times New Roman" w:cs="Times New Roman"/>
                <w:sz w:val="24"/>
                <w:szCs w:val="24"/>
              </w:rPr>
            </w:pPr>
            <w:r w:rsidRPr="000B227F">
              <w:rPr>
                <w:rFonts w:ascii="Times New Roman" w:hAnsi="Times New Roman" w:cs="Times New Roman"/>
                <w:sz w:val="24"/>
                <w:szCs w:val="24"/>
              </w:rPr>
              <w:t xml:space="preserve">Рост ссудного портфеля организаций, осуществляющих </w:t>
            </w:r>
            <w:proofErr w:type="spellStart"/>
            <w:r w:rsidRPr="000B227F">
              <w:rPr>
                <w:rFonts w:ascii="Times New Roman" w:hAnsi="Times New Roman" w:cs="Times New Roman"/>
                <w:sz w:val="24"/>
                <w:szCs w:val="24"/>
              </w:rPr>
              <w:t>микрофинансовую</w:t>
            </w:r>
            <w:proofErr w:type="spellEnd"/>
            <w:r w:rsidRPr="000B227F">
              <w:rPr>
                <w:rFonts w:ascii="Times New Roman" w:hAnsi="Times New Roman" w:cs="Times New Roman"/>
                <w:sz w:val="24"/>
                <w:szCs w:val="24"/>
              </w:rPr>
              <w:t xml:space="preserve"> деятельность</w:t>
            </w:r>
          </w:p>
        </w:tc>
        <w:tc>
          <w:tcPr>
            <w:tcW w:w="3402" w:type="dxa"/>
          </w:tcPr>
          <w:p w14:paraId="1CC10C82" w14:textId="358D5799" w:rsidR="00724B07" w:rsidRPr="000B227F" w:rsidRDefault="00724B07" w:rsidP="00724B07">
            <w:pPr>
              <w:spacing w:after="0"/>
              <w:rPr>
                <w:rFonts w:ascii="Times New Roman" w:hAnsi="Times New Roman" w:cs="Times New Roman"/>
                <w:sz w:val="24"/>
                <w:szCs w:val="24"/>
              </w:rPr>
            </w:pPr>
            <w:r w:rsidRPr="000B227F">
              <w:rPr>
                <w:rFonts w:ascii="Times New Roman" w:hAnsi="Times New Roman" w:cs="Times New Roman"/>
                <w:sz w:val="24"/>
                <w:szCs w:val="24"/>
              </w:rPr>
              <w:t xml:space="preserve">Отчетность, представляемая организациями, осуществляющими </w:t>
            </w:r>
            <w:proofErr w:type="spellStart"/>
            <w:r w:rsidRPr="000B227F">
              <w:rPr>
                <w:rFonts w:ascii="Times New Roman" w:hAnsi="Times New Roman" w:cs="Times New Roman"/>
                <w:sz w:val="24"/>
                <w:szCs w:val="24"/>
              </w:rPr>
              <w:lastRenderedPageBreak/>
              <w:t>микрофинансовую</w:t>
            </w:r>
            <w:proofErr w:type="spellEnd"/>
            <w:r w:rsidRPr="000B227F">
              <w:rPr>
                <w:rFonts w:ascii="Times New Roman" w:hAnsi="Times New Roman" w:cs="Times New Roman"/>
                <w:sz w:val="24"/>
                <w:szCs w:val="24"/>
              </w:rPr>
              <w:t xml:space="preserve"> деятельность</w:t>
            </w:r>
          </w:p>
        </w:tc>
        <w:tc>
          <w:tcPr>
            <w:tcW w:w="1985" w:type="dxa"/>
          </w:tcPr>
          <w:p w14:paraId="3509A6E0" w14:textId="77777777" w:rsidR="00724B07" w:rsidRPr="000B227F" w:rsidRDefault="00724B07" w:rsidP="005813D2">
            <w:pPr>
              <w:spacing w:after="0"/>
              <w:jc w:val="center"/>
              <w:rPr>
                <w:rFonts w:ascii="Times New Roman" w:hAnsi="Times New Roman" w:cs="Times New Roman"/>
                <w:sz w:val="24"/>
                <w:szCs w:val="24"/>
              </w:rPr>
            </w:pPr>
            <w:r w:rsidRPr="000B227F">
              <w:rPr>
                <w:rFonts w:ascii="Times New Roman" w:hAnsi="Times New Roman" w:cs="Times New Roman"/>
                <w:sz w:val="24"/>
                <w:szCs w:val="24"/>
              </w:rPr>
              <w:lastRenderedPageBreak/>
              <w:t>%</w:t>
            </w:r>
          </w:p>
        </w:tc>
        <w:tc>
          <w:tcPr>
            <w:tcW w:w="1559" w:type="dxa"/>
          </w:tcPr>
          <w:p w14:paraId="4E53BC6F" w14:textId="77777777" w:rsidR="00724B07" w:rsidRPr="000B227F" w:rsidRDefault="00724B07" w:rsidP="005813D2">
            <w:pPr>
              <w:spacing w:after="0"/>
              <w:jc w:val="center"/>
              <w:rPr>
                <w:rFonts w:ascii="Times New Roman" w:hAnsi="Times New Roman" w:cs="Times New Roman"/>
                <w:sz w:val="24"/>
                <w:szCs w:val="24"/>
              </w:rPr>
            </w:pPr>
            <w:r w:rsidRPr="000B227F">
              <w:rPr>
                <w:rFonts w:ascii="Times New Roman" w:hAnsi="Times New Roman" w:cs="Times New Roman"/>
                <w:sz w:val="24"/>
                <w:szCs w:val="24"/>
              </w:rPr>
              <w:t>от 3 до 5</w:t>
            </w:r>
          </w:p>
        </w:tc>
        <w:tc>
          <w:tcPr>
            <w:tcW w:w="1134" w:type="dxa"/>
          </w:tcPr>
          <w:p w14:paraId="7D70DF16" w14:textId="5659CCA1" w:rsidR="00724B07" w:rsidRPr="000B227F" w:rsidRDefault="00765599" w:rsidP="005813D2">
            <w:pPr>
              <w:spacing w:after="0"/>
              <w:jc w:val="center"/>
              <w:rPr>
                <w:rFonts w:ascii="Times New Roman" w:hAnsi="Times New Roman" w:cs="Times New Roman"/>
                <w:sz w:val="24"/>
                <w:szCs w:val="24"/>
              </w:rPr>
            </w:pPr>
            <w:r w:rsidRPr="000B227F">
              <w:rPr>
                <w:rFonts w:ascii="Times New Roman" w:hAnsi="Times New Roman" w:cs="Times New Roman"/>
                <w:sz w:val="24"/>
                <w:szCs w:val="24"/>
              </w:rPr>
              <w:t>235</w:t>
            </w:r>
            <w:r w:rsidR="009205B6" w:rsidRPr="000B227F">
              <w:rPr>
                <w:rStyle w:val="a5"/>
                <w:rFonts w:ascii="Times New Roman" w:eastAsia="Calibri" w:hAnsi="Times New Roman" w:cs="Times New Roman"/>
                <w:i/>
                <w:sz w:val="24"/>
                <w:szCs w:val="24"/>
              </w:rPr>
              <w:footnoteReference w:id="1"/>
            </w:r>
          </w:p>
        </w:tc>
        <w:tc>
          <w:tcPr>
            <w:tcW w:w="2698" w:type="dxa"/>
          </w:tcPr>
          <w:p w14:paraId="6E2B5D5A" w14:textId="77777777" w:rsidR="00724B07" w:rsidRPr="000B227F" w:rsidRDefault="00724B07" w:rsidP="00724B07">
            <w:pPr>
              <w:tabs>
                <w:tab w:val="left" w:pos="436"/>
                <w:tab w:val="left" w:pos="604"/>
              </w:tabs>
              <w:spacing w:after="0" w:line="240" w:lineRule="auto"/>
              <w:jc w:val="center"/>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Исполнено</w:t>
            </w:r>
          </w:p>
          <w:p w14:paraId="10A94A66" w14:textId="77777777" w:rsidR="00724B07" w:rsidRPr="000B227F" w:rsidRDefault="00724B07" w:rsidP="005813D2">
            <w:pPr>
              <w:tabs>
                <w:tab w:val="left" w:pos="436"/>
                <w:tab w:val="left" w:pos="604"/>
              </w:tabs>
              <w:spacing w:after="0" w:line="240" w:lineRule="auto"/>
              <w:jc w:val="both"/>
              <w:rPr>
                <w:rFonts w:ascii="Times New Roman" w:eastAsia="Times New Roman" w:hAnsi="Times New Roman" w:cs="Times New Roman"/>
                <w:sz w:val="24"/>
                <w:szCs w:val="24"/>
                <w:lang w:eastAsia="ru-RU"/>
              </w:rPr>
            </w:pPr>
            <w:r w:rsidRPr="000B227F">
              <w:rPr>
                <w:rFonts w:ascii="Times New Roman" w:hAnsi="Times New Roman" w:cs="Times New Roman"/>
                <w:sz w:val="24"/>
                <w:szCs w:val="24"/>
              </w:rPr>
              <w:t>См. аналитическую записку</w:t>
            </w:r>
            <w:r w:rsidRPr="000B227F">
              <w:rPr>
                <w:rFonts w:ascii="Times New Roman" w:eastAsia="Times New Roman" w:hAnsi="Times New Roman" w:cs="Times New Roman"/>
                <w:sz w:val="24"/>
                <w:szCs w:val="24"/>
                <w:lang w:eastAsia="ru-RU"/>
              </w:rPr>
              <w:t xml:space="preserve"> </w:t>
            </w:r>
          </w:p>
        </w:tc>
      </w:tr>
      <w:tr w:rsidR="00724B07" w:rsidRPr="000B227F" w14:paraId="00D27F27" w14:textId="77777777" w:rsidTr="00724B07">
        <w:trPr>
          <w:trHeight w:val="30"/>
        </w:trPr>
        <w:tc>
          <w:tcPr>
            <w:tcW w:w="15222" w:type="dxa"/>
            <w:gridSpan w:val="7"/>
          </w:tcPr>
          <w:p w14:paraId="6074EDC5"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lastRenderedPageBreak/>
              <w:t xml:space="preserve">Стратегическое направление 7. </w:t>
            </w:r>
            <w:proofErr w:type="spellStart"/>
            <w:r w:rsidRPr="000B227F">
              <w:rPr>
                <w:rFonts w:ascii="Times New Roman" w:hAnsi="Times New Roman" w:cs="Times New Roman"/>
                <w:b/>
                <w:sz w:val="24"/>
                <w:szCs w:val="24"/>
              </w:rPr>
              <w:t>Кибербезопасность</w:t>
            </w:r>
            <w:proofErr w:type="spellEnd"/>
          </w:p>
        </w:tc>
      </w:tr>
      <w:tr w:rsidR="00724B07" w:rsidRPr="000B227F" w14:paraId="005318B2" w14:textId="77777777" w:rsidTr="00724B07">
        <w:trPr>
          <w:trHeight w:val="30"/>
        </w:trPr>
        <w:tc>
          <w:tcPr>
            <w:tcW w:w="15222" w:type="dxa"/>
            <w:gridSpan w:val="7"/>
          </w:tcPr>
          <w:p w14:paraId="2664B3D1" w14:textId="77777777" w:rsidR="00724B07" w:rsidRPr="000B227F" w:rsidRDefault="00724B07" w:rsidP="005813D2">
            <w:pPr>
              <w:ind w:firstLine="320"/>
              <w:jc w:val="center"/>
              <w:textAlignment w:val="baseline"/>
              <w:rPr>
                <w:rFonts w:ascii="Times New Roman" w:hAnsi="Times New Roman" w:cs="Times New Roman"/>
                <w:b/>
                <w:sz w:val="24"/>
                <w:szCs w:val="24"/>
              </w:rPr>
            </w:pPr>
            <w:r w:rsidRPr="000B227F">
              <w:rPr>
                <w:rFonts w:ascii="Times New Roman" w:hAnsi="Times New Roman" w:cs="Times New Roman"/>
                <w:b/>
                <w:sz w:val="24"/>
                <w:szCs w:val="24"/>
              </w:rPr>
              <w:t>Цель 7. Совершенствование взаимодействия в области информационной безопасности в глобальном масштабе</w:t>
            </w:r>
          </w:p>
        </w:tc>
      </w:tr>
      <w:tr w:rsidR="00724B07" w:rsidRPr="000B227F" w14:paraId="525643A4" w14:textId="77777777" w:rsidTr="00724B07">
        <w:trPr>
          <w:gridAfter w:val="1"/>
          <w:wAfter w:w="20" w:type="dxa"/>
          <w:trHeight w:val="30"/>
        </w:trPr>
        <w:tc>
          <w:tcPr>
            <w:tcW w:w="4424" w:type="dxa"/>
          </w:tcPr>
          <w:p w14:paraId="0EE71363" w14:textId="77777777" w:rsidR="00724B07" w:rsidRPr="000B227F" w:rsidRDefault="00724B07" w:rsidP="005813D2">
            <w:pPr>
              <w:rPr>
                <w:rFonts w:ascii="Times New Roman" w:hAnsi="Times New Roman" w:cs="Times New Roman"/>
                <w:sz w:val="24"/>
                <w:szCs w:val="24"/>
              </w:rPr>
            </w:pPr>
            <w:r w:rsidRPr="000B227F">
              <w:rPr>
                <w:rFonts w:ascii="Times New Roman" w:hAnsi="Times New Roman" w:cs="Times New Roman"/>
                <w:sz w:val="24"/>
                <w:szCs w:val="24"/>
              </w:rPr>
              <w:t xml:space="preserve">Количество соглашений отраслевого центра информационной безопасности финансового рынка с международными организациями/иностранными регуляторами об информационном обмене по </w:t>
            </w:r>
            <w:proofErr w:type="spellStart"/>
            <w:r w:rsidRPr="000B227F">
              <w:rPr>
                <w:rFonts w:ascii="Times New Roman" w:hAnsi="Times New Roman" w:cs="Times New Roman"/>
                <w:sz w:val="24"/>
                <w:szCs w:val="24"/>
              </w:rPr>
              <w:t>киберинцидентам</w:t>
            </w:r>
            <w:proofErr w:type="spellEnd"/>
            <w:r w:rsidRPr="000B227F">
              <w:rPr>
                <w:rFonts w:ascii="Times New Roman" w:hAnsi="Times New Roman" w:cs="Times New Roman"/>
                <w:sz w:val="24"/>
                <w:szCs w:val="24"/>
              </w:rPr>
              <w:t xml:space="preserve"> и </w:t>
            </w:r>
            <w:proofErr w:type="spellStart"/>
            <w:r w:rsidRPr="000B227F">
              <w:rPr>
                <w:rFonts w:ascii="Times New Roman" w:hAnsi="Times New Roman" w:cs="Times New Roman"/>
                <w:sz w:val="24"/>
                <w:szCs w:val="24"/>
              </w:rPr>
              <w:t>киберугрозам</w:t>
            </w:r>
            <w:proofErr w:type="spellEnd"/>
          </w:p>
        </w:tc>
        <w:tc>
          <w:tcPr>
            <w:tcW w:w="3402" w:type="dxa"/>
          </w:tcPr>
          <w:p w14:paraId="51DF66F6" w14:textId="77777777" w:rsidR="00724B07" w:rsidRPr="000B227F" w:rsidRDefault="00724B07" w:rsidP="00724B07">
            <w:pPr>
              <w:rPr>
                <w:rFonts w:ascii="Times New Roman" w:hAnsi="Times New Roman" w:cs="Times New Roman"/>
                <w:sz w:val="24"/>
                <w:szCs w:val="24"/>
              </w:rPr>
            </w:pPr>
            <w:r w:rsidRPr="000B227F">
              <w:rPr>
                <w:rFonts w:ascii="Times New Roman" w:hAnsi="Times New Roman" w:cs="Times New Roman"/>
                <w:sz w:val="24"/>
                <w:szCs w:val="24"/>
              </w:rPr>
              <w:t>Система документооборота Агентства</w:t>
            </w:r>
          </w:p>
        </w:tc>
        <w:tc>
          <w:tcPr>
            <w:tcW w:w="1985" w:type="dxa"/>
          </w:tcPr>
          <w:p w14:paraId="027DDF74"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Количество соглашений в год</w:t>
            </w:r>
          </w:p>
        </w:tc>
        <w:tc>
          <w:tcPr>
            <w:tcW w:w="1559" w:type="dxa"/>
          </w:tcPr>
          <w:p w14:paraId="31F21E9D"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2</w:t>
            </w:r>
          </w:p>
        </w:tc>
        <w:tc>
          <w:tcPr>
            <w:tcW w:w="1134" w:type="dxa"/>
          </w:tcPr>
          <w:p w14:paraId="308D2CBA"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2</w:t>
            </w:r>
          </w:p>
        </w:tc>
        <w:tc>
          <w:tcPr>
            <w:tcW w:w="2698" w:type="dxa"/>
          </w:tcPr>
          <w:p w14:paraId="32F9B530" w14:textId="77777777" w:rsidR="00724B07" w:rsidRPr="000B227F" w:rsidRDefault="00724B07" w:rsidP="00724B07">
            <w:pPr>
              <w:spacing w:after="0" w:line="240" w:lineRule="auto"/>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30A8AF35" w14:textId="77777777" w:rsidR="00724B07" w:rsidRPr="000B227F" w:rsidRDefault="00724B07" w:rsidP="005813D2">
            <w:pPr>
              <w:tabs>
                <w:tab w:val="left" w:pos="436"/>
                <w:tab w:val="left" w:pos="604"/>
              </w:tabs>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 xml:space="preserve">См. аналитическую записку </w:t>
            </w:r>
          </w:p>
        </w:tc>
      </w:tr>
      <w:tr w:rsidR="00724B07" w:rsidRPr="000B227F" w14:paraId="5BEC2250" w14:textId="77777777" w:rsidTr="00724B07">
        <w:trPr>
          <w:trHeight w:val="269"/>
        </w:trPr>
        <w:tc>
          <w:tcPr>
            <w:tcW w:w="15222" w:type="dxa"/>
            <w:gridSpan w:val="7"/>
          </w:tcPr>
          <w:p w14:paraId="526DDE0B" w14:textId="77777777" w:rsidR="00724B07" w:rsidRPr="000B227F" w:rsidRDefault="00724B07" w:rsidP="005813D2">
            <w:pPr>
              <w:ind w:firstLine="320"/>
              <w:jc w:val="center"/>
              <w:rPr>
                <w:rFonts w:ascii="Times New Roman" w:hAnsi="Times New Roman" w:cs="Times New Roman"/>
                <w:b/>
                <w:sz w:val="24"/>
                <w:szCs w:val="24"/>
              </w:rPr>
            </w:pPr>
            <w:r w:rsidRPr="000B227F">
              <w:rPr>
                <w:rFonts w:ascii="Times New Roman" w:hAnsi="Times New Roman" w:cs="Times New Roman"/>
                <w:b/>
                <w:sz w:val="24"/>
                <w:szCs w:val="24"/>
              </w:rPr>
              <w:t>Стратегическое направление 8. Противодействие отмыванию денег и финансированию терроризма</w:t>
            </w:r>
          </w:p>
        </w:tc>
      </w:tr>
      <w:tr w:rsidR="00724B07" w:rsidRPr="000B227F" w14:paraId="03E9CF0A" w14:textId="77777777" w:rsidTr="00724B07">
        <w:trPr>
          <w:trHeight w:val="30"/>
        </w:trPr>
        <w:tc>
          <w:tcPr>
            <w:tcW w:w="15222" w:type="dxa"/>
            <w:gridSpan w:val="7"/>
          </w:tcPr>
          <w:p w14:paraId="0CED3A7F" w14:textId="77777777" w:rsidR="00724B07" w:rsidRPr="000B227F" w:rsidRDefault="00724B07" w:rsidP="005813D2">
            <w:pPr>
              <w:ind w:firstLine="320"/>
              <w:jc w:val="center"/>
              <w:rPr>
                <w:rFonts w:ascii="Times New Roman" w:hAnsi="Times New Roman" w:cs="Times New Roman"/>
                <w:b/>
                <w:sz w:val="24"/>
                <w:szCs w:val="24"/>
              </w:rPr>
            </w:pPr>
            <w:r w:rsidRPr="000B227F">
              <w:rPr>
                <w:rFonts w:ascii="Times New Roman" w:hAnsi="Times New Roman" w:cs="Times New Roman"/>
                <w:b/>
                <w:sz w:val="24"/>
                <w:szCs w:val="24"/>
              </w:rPr>
              <w:t>Цель 8. Снижение уровня риска отмывания денег и финансирования терроризма в финансовом секторе</w:t>
            </w:r>
          </w:p>
        </w:tc>
      </w:tr>
      <w:tr w:rsidR="00724B07" w:rsidRPr="000B227F" w14:paraId="39C53E3C" w14:textId="77777777" w:rsidTr="00724B07">
        <w:trPr>
          <w:gridAfter w:val="1"/>
          <w:wAfter w:w="20" w:type="dxa"/>
          <w:trHeight w:val="30"/>
        </w:trPr>
        <w:tc>
          <w:tcPr>
            <w:tcW w:w="4424" w:type="dxa"/>
          </w:tcPr>
          <w:p w14:paraId="3BB86F40" w14:textId="77777777" w:rsidR="00724B07" w:rsidRPr="000B227F" w:rsidRDefault="00724B07" w:rsidP="005813D2">
            <w:pPr>
              <w:spacing w:line="240" w:lineRule="auto"/>
              <w:rPr>
                <w:rFonts w:ascii="Times New Roman" w:hAnsi="Times New Roman" w:cs="Times New Roman"/>
                <w:sz w:val="24"/>
                <w:szCs w:val="24"/>
              </w:rPr>
            </w:pPr>
            <w:r w:rsidRPr="000B227F">
              <w:rPr>
                <w:rFonts w:ascii="Times New Roman" w:hAnsi="Times New Roman" w:cs="Times New Roman"/>
                <w:sz w:val="24"/>
                <w:szCs w:val="24"/>
              </w:rPr>
              <w:t>Риски, связанные с отмыванием доходов в банках второго уровня</w:t>
            </w:r>
          </w:p>
        </w:tc>
        <w:tc>
          <w:tcPr>
            <w:tcW w:w="3402" w:type="dxa"/>
          </w:tcPr>
          <w:p w14:paraId="2D90C211"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 xml:space="preserve">1.Статистика </w:t>
            </w:r>
          </w:p>
          <w:p w14:paraId="2571DB85"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2.Оперативные (разведывательные) данные.</w:t>
            </w:r>
          </w:p>
          <w:p w14:paraId="1BFF52E3"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3.Собеседования с представителями соответствующих органов, заинтересованных групп и участников рынка.</w:t>
            </w:r>
          </w:p>
          <w:p w14:paraId="2D1B9293"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4.Совещания в рамках фокус-групп с участием представителей соответствующих органов, заинтересованных групп и участников рынка.</w:t>
            </w:r>
          </w:p>
          <w:p w14:paraId="15D2EF84"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lastRenderedPageBreak/>
              <w:t>5. Опросы общественности или фокус-групп.</w:t>
            </w:r>
          </w:p>
          <w:p w14:paraId="583B53D3"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6. Отчёты международных организаций и других международных организаций, занимающихся разработкой и внедрением стандартов</w:t>
            </w:r>
          </w:p>
          <w:p w14:paraId="770B9A51"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7. Отчёты правительств, «мозговых центров», организация гражданского общества и частных учреждений</w:t>
            </w:r>
          </w:p>
          <w:p w14:paraId="132C1F5F"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8. Книги, статьи и отчеты по результатам исследований, проводимых научными кругами</w:t>
            </w:r>
          </w:p>
          <w:p w14:paraId="1EBC426D" w14:textId="77777777" w:rsidR="00724B07" w:rsidRPr="000B227F" w:rsidRDefault="00724B07" w:rsidP="00724B07">
            <w:pPr>
              <w:tabs>
                <w:tab w:val="left" w:pos="180"/>
                <w:tab w:val="left" w:pos="344"/>
              </w:tabs>
              <w:spacing w:after="0" w:line="240" w:lineRule="auto"/>
              <w:rPr>
                <w:rFonts w:ascii="Times New Roman" w:hAnsi="Times New Roman" w:cs="Times New Roman"/>
                <w:sz w:val="24"/>
                <w:szCs w:val="24"/>
              </w:rPr>
            </w:pPr>
            <w:r w:rsidRPr="000B227F">
              <w:rPr>
                <w:rFonts w:ascii="Times New Roman" w:hAnsi="Times New Roman" w:cs="Times New Roman"/>
                <w:sz w:val="24"/>
                <w:szCs w:val="24"/>
              </w:rPr>
              <w:t>9. Пресса, Интернет и другая открытая информация</w:t>
            </w:r>
          </w:p>
        </w:tc>
        <w:tc>
          <w:tcPr>
            <w:tcW w:w="1985" w:type="dxa"/>
          </w:tcPr>
          <w:p w14:paraId="374D0AF1"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lastRenderedPageBreak/>
              <w:t>балл</w:t>
            </w:r>
          </w:p>
        </w:tc>
        <w:tc>
          <w:tcPr>
            <w:tcW w:w="1559" w:type="dxa"/>
          </w:tcPr>
          <w:p w14:paraId="21A993FF"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5</w:t>
            </w:r>
          </w:p>
        </w:tc>
        <w:tc>
          <w:tcPr>
            <w:tcW w:w="1134" w:type="dxa"/>
          </w:tcPr>
          <w:p w14:paraId="019F6C51" w14:textId="77777777" w:rsidR="00724B07" w:rsidRPr="000B227F" w:rsidRDefault="00724B07" w:rsidP="005813D2">
            <w:pPr>
              <w:jc w:val="center"/>
              <w:rPr>
                <w:rFonts w:ascii="Times New Roman" w:hAnsi="Times New Roman" w:cs="Times New Roman"/>
                <w:sz w:val="24"/>
                <w:szCs w:val="24"/>
              </w:rPr>
            </w:pPr>
            <w:r w:rsidRPr="000B227F">
              <w:rPr>
                <w:rFonts w:ascii="Times New Roman" w:hAnsi="Times New Roman" w:cs="Times New Roman"/>
                <w:sz w:val="24"/>
                <w:szCs w:val="24"/>
              </w:rPr>
              <w:t>5</w:t>
            </w:r>
          </w:p>
        </w:tc>
        <w:tc>
          <w:tcPr>
            <w:tcW w:w="2698" w:type="dxa"/>
          </w:tcPr>
          <w:p w14:paraId="5C0B0843" w14:textId="77777777" w:rsidR="00724B07" w:rsidRPr="000B227F" w:rsidRDefault="00724B07" w:rsidP="00724B07">
            <w:pPr>
              <w:spacing w:after="0"/>
              <w:jc w:val="center"/>
              <w:rPr>
                <w:rFonts w:ascii="Times New Roman" w:hAnsi="Times New Roman" w:cs="Times New Roman"/>
                <w:sz w:val="24"/>
                <w:szCs w:val="24"/>
              </w:rPr>
            </w:pPr>
            <w:r w:rsidRPr="000B227F">
              <w:rPr>
                <w:rFonts w:ascii="Times New Roman" w:hAnsi="Times New Roman" w:cs="Times New Roman"/>
                <w:sz w:val="24"/>
                <w:szCs w:val="24"/>
              </w:rPr>
              <w:t>Исполнено</w:t>
            </w:r>
          </w:p>
          <w:p w14:paraId="2E48CBF5" w14:textId="77777777" w:rsidR="00724B07" w:rsidRPr="000B227F" w:rsidRDefault="00724B07" w:rsidP="005813D2">
            <w:pPr>
              <w:spacing w:after="0" w:line="240" w:lineRule="auto"/>
              <w:jc w:val="both"/>
              <w:rPr>
                <w:rFonts w:ascii="Times New Roman" w:hAnsi="Times New Roman" w:cs="Times New Roman"/>
                <w:sz w:val="24"/>
                <w:szCs w:val="24"/>
              </w:rPr>
            </w:pPr>
            <w:r w:rsidRPr="000B227F">
              <w:rPr>
                <w:rFonts w:ascii="Times New Roman" w:hAnsi="Times New Roman" w:cs="Times New Roman"/>
                <w:sz w:val="24"/>
                <w:szCs w:val="24"/>
              </w:rPr>
              <w:t xml:space="preserve">См. аналитическую записку </w:t>
            </w:r>
          </w:p>
        </w:tc>
      </w:tr>
    </w:tbl>
    <w:p w14:paraId="633291B1" w14:textId="6DDFE11F" w:rsidR="0061685F" w:rsidRPr="000B227F" w:rsidRDefault="0061685F" w:rsidP="003101F2">
      <w:pPr>
        <w:rPr>
          <w:rFonts w:ascii="Times New Roman" w:hAnsi="Times New Roman" w:cs="Times New Roman"/>
          <w:sz w:val="24"/>
          <w:szCs w:val="24"/>
        </w:rPr>
      </w:pPr>
    </w:p>
    <w:p w14:paraId="40CC4C49" w14:textId="2BE8B0C3" w:rsidR="001516F0" w:rsidRPr="000B227F" w:rsidRDefault="001516F0" w:rsidP="003101F2">
      <w:pPr>
        <w:rPr>
          <w:rFonts w:ascii="Times New Roman" w:hAnsi="Times New Roman" w:cs="Times New Roman"/>
          <w:sz w:val="24"/>
          <w:szCs w:val="24"/>
        </w:rPr>
      </w:pPr>
    </w:p>
    <w:p w14:paraId="18D2012F" w14:textId="37702F99" w:rsidR="001516F0" w:rsidRPr="000B227F" w:rsidRDefault="001516F0" w:rsidP="003101F2">
      <w:pPr>
        <w:rPr>
          <w:rFonts w:ascii="Times New Roman" w:hAnsi="Times New Roman" w:cs="Times New Roman"/>
          <w:sz w:val="24"/>
          <w:szCs w:val="24"/>
        </w:rPr>
      </w:pPr>
    </w:p>
    <w:p w14:paraId="3FF5F648" w14:textId="75D21847" w:rsidR="001516F0" w:rsidRPr="000B227F" w:rsidRDefault="001516F0" w:rsidP="003101F2">
      <w:pPr>
        <w:rPr>
          <w:rFonts w:ascii="Times New Roman" w:hAnsi="Times New Roman" w:cs="Times New Roman"/>
          <w:sz w:val="24"/>
          <w:szCs w:val="24"/>
        </w:rPr>
      </w:pPr>
    </w:p>
    <w:p w14:paraId="17FA62AB" w14:textId="2FE71A34" w:rsidR="001516F0" w:rsidRPr="000B227F" w:rsidRDefault="001516F0" w:rsidP="003101F2">
      <w:pPr>
        <w:rPr>
          <w:rFonts w:ascii="Times New Roman" w:hAnsi="Times New Roman" w:cs="Times New Roman"/>
          <w:sz w:val="24"/>
          <w:szCs w:val="24"/>
        </w:rPr>
      </w:pPr>
    </w:p>
    <w:p w14:paraId="4FE51156" w14:textId="72F73AE6" w:rsidR="001516F0" w:rsidRPr="000B227F" w:rsidRDefault="001516F0" w:rsidP="003101F2">
      <w:pPr>
        <w:rPr>
          <w:rFonts w:ascii="Times New Roman" w:hAnsi="Times New Roman" w:cs="Times New Roman"/>
          <w:sz w:val="24"/>
          <w:szCs w:val="24"/>
        </w:rPr>
      </w:pPr>
    </w:p>
    <w:p w14:paraId="119B7D66" w14:textId="28BE1A1E" w:rsidR="001516F0" w:rsidRPr="000B227F" w:rsidRDefault="001516F0" w:rsidP="003101F2">
      <w:pPr>
        <w:rPr>
          <w:rFonts w:ascii="Times New Roman" w:hAnsi="Times New Roman" w:cs="Times New Roman"/>
          <w:sz w:val="24"/>
          <w:szCs w:val="24"/>
        </w:rPr>
      </w:pPr>
    </w:p>
    <w:p w14:paraId="1FFCA80D" w14:textId="5F5E344A" w:rsidR="001516F0" w:rsidRPr="000B227F" w:rsidRDefault="001516F0" w:rsidP="003101F2">
      <w:pPr>
        <w:rPr>
          <w:rFonts w:ascii="Times New Roman" w:hAnsi="Times New Roman" w:cs="Times New Roman"/>
          <w:sz w:val="24"/>
          <w:szCs w:val="24"/>
        </w:rPr>
      </w:pPr>
    </w:p>
    <w:p w14:paraId="77162B9E" w14:textId="77777777" w:rsidR="001516F0" w:rsidRPr="000B227F" w:rsidRDefault="001516F0" w:rsidP="003101F2">
      <w:pPr>
        <w:rPr>
          <w:rFonts w:ascii="Times New Roman" w:hAnsi="Times New Roman" w:cs="Times New Roman"/>
          <w:sz w:val="24"/>
          <w:szCs w:val="24"/>
        </w:rPr>
        <w:sectPr w:rsidR="001516F0" w:rsidRPr="000B227F" w:rsidSect="00724B07">
          <w:headerReference w:type="default" r:id="rId8"/>
          <w:pgSz w:w="16838" w:h="11906" w:orient="landscape"/>
          <w:pgMar w:top="851" w:right="851" w:bottom="851" w:left="851" w:header="709" w:footer="709" w:gutter="0"/>
          <w:cols w:space="708"/>
          <w:titlePg/>
          <w:docGrid w:linePitch="360"/>
        </w:sectPr>
      </w:pPr>
    </w:p>
    <w:p w14:paraId="7FBB76B9" w14:textId="77777777" w:rsidR="001516F0" w:rsidRPr="000B227F" w:rsidRDefault="001516F0" w:rsidP="001516F0">
      <w:pPr>
        <w:widowControl w:val="0"/>
        <w:spacing w:after="0" w:line="240" w:lineRule="auto"/>
        <w:jc w:val="center"/>
        <w:rPr>
          <w:rFonts w:ascii="Times New Roman" w:eastAsia="Times New Roman" w:hAnsi="Times New Roman" w:cs="Times New Roman"/>
          <w:b/>
          <w:bCs/>
          <w:sz w:val="24"/>
          <w:szCs w:val="24"/>
        </w:rPr>
      </w:pPr>
      <w:r w:rsidRPr="000B227F">
        <w:rPr>
          <w:rFonts w:ascii="Times New Roman" w:eastAsia="Times New Roman" w:hAnsi="Times New Roman" w:cs="Times New Roman"/>
          <w:b/>
          <w:bCs/>
          <w:sz w:val="24"/>
          <w:szCs w:val="24"/>
        </w:rPr>
        <w:lastRenderedPageBreak/>
        <w:t>Аналитическая записка</w:t>
      </w:r>
    </w:p>
    <w:p w14:paraId="55C69CCE" w14:textId="77777777" w:rsidR="001516F0" w:rsidRPr="000B227F" w:rsidRDefault="001516F0" w:rsidP="001516F0">
      <w:pPr>
        <w:widowControl w:val="0"/>
        <w:spacing w:after="0" w:line="240" w:lineRule="auto"/>
        <w:jc w:val="center"/>
        <w:rPr>
          <w:rFonts w:ascii="Times New Roman" w:eastAsia="Times New Roman" w:hAnsi="Times New Roman" w:cs="Times New Roman"/>
          <w:b/>
          <w:bCs/>
          <w:sz w:val="24"/>
          <w:szCs w:val="24"/>
        </w:rPr>
      </w:pPr>
      <w:r w:rsidRPr="000B227F">
        <w:rPr>
          <w:rFonts w:ascii="Times New Roman" w:eastAsia="Times New Roman" w:hAnsi="Times New Roman" w:cs="Times New Roman"/>
          <w:b/>
          <w:bCs/>
          <w:sz w:val="24"/>
          <w:szCs w:val="24"/>
        </w:rPr>
        <w:t>к отчету о реализации Стратегического плана</w:t>
      </w:r>
    </w:p>
    <w:p w14:paraId="3F7A5F95" w14:textId="77777777" w:rsidR="001516F0" w:rsidRPr="000B227F" w:rsidRDefault="001516F0" w:rsidP="001516F0">
      <w:pPr>
        <w:widowControl w:val="0"/>
        <w:spacing w:after="0" w:line="240" w:lineRule="auto"/>
        <w:jc w:val="center"/>
        <w:rPr>
          <w:rFonts w:ascii="Times New Roman" w:eastAsia="Times New Roman" w:hAnsi="Times New Roman" w:cs="Times New Roman"/>
          <w:b/>
          <w:bCs/>
          <w:sz w:val="24"/>
          <w:szCs w:val="24"/>
        </w:rPr>
      </w:pPr>
      <w:r w:rsidRPr="000B227F">
        <w:rPr>
          <w:rFonts w:ascii="Times New Roman" w:eastAsia="Times New Roman" w:hAnsi="Times New Roman" w:cs="Times New Roman"/>
          <w:b/>
          <w:bCs/>
          <w:sz w:val="24"/>
          <w:szCs w:val="24"/>
        </w:rPr>
        <w:t>Агентства Республики Казахстан по регулированию и развитию финансового рынка на 2020-2024 годы</w:t>
      </w:r>
    </w:p>
    <w:p w14:paraId="54B19B50" w14:textId="77777777" w:rsidR="001516F0" w:rsidRPr="000B227F" w:rsidRDefault="001516F0" w:rsidP="001516F0">
      <w:pPr>
        <w:widowControl w:val="0"/>
        <w:spacing w:after="0" w:line="240" w:lineRule="auto"/>
        <w:jc w:val="center"/>
        <w:rPr>
          <w:rFonts w:ascii="Times New Roman" w:eastAsia="Times New Roman" w:hAnsi="Times New Roman" w:cs="Times New Roman"/>
          <w:bCs/>
          <w:sz w:val="24"/>
          <w:szCs w:val="24"/>
        </w:rPr>
      </w:pPr>
    </w:p>
    <w:p w14:paraId="3CA03124" w14:textId="77777777" w:rsidR="001516F0" w:rsidRPr="000B227F" w:rsidRDefault="001516F0" w:rsidP="001516F0">
      <w:pPr>
        <w:widowControl w:val="0"/>
        <w:spacing w:after="0" w:line="240" w:lineRule="auto"/>
        <w:jc w:val="center"/>
        <w:rPr>
          <w:rFonts w:ascii="Times New Roman" w:eastAsia="Times New Roman" w:hAnsi="Times New Roman" w:cs="Times New Roman"/>
          <w:b/>
          <w:bCs/>
          <w:sz w:val="24"/>
          <w:szCs w:val="24"/>
          <w:u w:val="single"/>
        </w:rPr>
      </w:pPr>
      <w:r w:rsidRPr="000B227F">
        <w:rPr>
          <w:rFonts w:ascii="Times New Roman" w:eastAsia="Times New Roman" w:hAnsi="Times New Roman" w:cs="Times New Roman"/>
          <w:bCs/>
          <w:sz w:val="24"/>
          <w:szCs w:val="24"/>
          <w:u w:val="single"/>
        </w:rPr>
        <w:t xml:space="preserve">Период отчета: </w:t>
      </w:r>
      <w:r w:rsidRPr="000B227F">
        <w:rPr>
          <w:rFonts w:ascii="Times New Roman" w:eastAsia="Times New Roman" w:hAnsi="Times New Roman" w:cs="Times New Roman"/>
          <w:b/>
          <w:bCs/>
          <w:sz w:val="24"/>
          <w:szCs w:val="24"/>
          <w:u w:val="single"/>
        </w:rPr>
        <w:t>2020 год</w:t>
      </w:r>
    </w:p>
    <w:p w14:paraId="688A0D30" w14:textId="77777777" w:rsidR="001516F0" w:rsidRPr="000B227F" w:rsidRDefault="001516F0" w:rsidP="001516F0">
      <w:pPr>
        <w:widowControl w:val="0"/>
        <w:spacing w:after="0" w:line="240" w:lineRule="auto"/>
        <w:ind w:firstLine="709"/>
        <w:jc w:val="center"/>
        <w:rPr>
          <w:rFonts w:ascii="Times New Roman" w:eastAsia="Times New Roman" w:hAnsi="Times New Roman" w:cs="Times New Roman"/>
          <w:bCs/>
          <w:sz w:val="24"/>
          <w:szCs w:val="24"/>
        </w:rPr>
      </w:pPr>
    </w:p>
    <w:p w14:paraId="1328E5D9" w14:textId="77777777" w:rsidR="001516F0" w:rsidRPr="000B227F" w:rsidRDefault="001516F0" w:rsidP="001516F0">
      <w:pPr>
        <w:widowControl w:val="0"/>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Стратегический план Агентства на 2020-2024 годы утвержден приказом Председателя Агентства от 28.02.2020г. № 148 «Об утверждении Стратегического плана Агентства Республики Казахстан по регулированию и развитию финансового рынка на 2020 – 2024 годы» (далее – Стратегический план Агентства).</w:t>
      </w:r>
    </w:p>
    <w:p w14:paraId="23066F87" w14:textId="77777777" w:rsidR="001516F0" w:rsidRPr="000B227F" w:rsidRDefault="001516F0" w:rsidP="001516F0">
      <w:pPr>
        <w:widowControl w:val="0"/>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В 2020 году в Стратегический план Агентства внесены изменения приказами Председателя Агентства от 03.08.2020г. № 312, от 30.12.2020г. № 519, от 31.12.2020г. № 524, от 31.12.2020г. № 529, от 31.12.2020г. № 530.</w:t>
      </w:r>
    </w:p>
    <w:p w14:paraId="48F162A3" w14:textId="77777777" w:rsidR="001516F0" w:rsidRPr="000B227F" w:rsidRDefault="001516F0" w:rsidP="001516F0">
      <w:pPr>
        <w:widowControl w:val="0"/>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 xml:space="preserve">В рамках Стратегического плана Агентства в 2020 году предусмотрено выполнение </w:t>
      </w:r>
      <w:r w:rsidRPr="000B227F">
        <w:rPr>
          <w:rFonts w:ascii="Times New Roman" w:eastAsia="Times New Roman" w:hAnsi="Times New Roman" w:cs="Times New Roman"/>
          <w:bCs/>
          <w:sz w:val="24"/>
          <w:szCs w:val="24"/>
        </w:rPr>
        <w:br/>
        <w:t>11 целевых индикаторов, из них:</w:t>
      </w:r>
    </w:p>
    <w:p w14:paraId="6F61E3D3"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1.</w:t>
      </w:r>
      <w:r w:rsidRPr="000B227F">
        <w:rPr>
          <w:rFonts w:ascii="Times New Roman" w:eastAsia="Times New Roman" w:hAnsi="Times New Roman" w:cs="Times New Roman"/>
          <w:bCs/>
          <w:sz w:val="24"/>
          <w:szCs w:val="24"/>
        </w:rPr>
        <w:tab/>
        <w:t xml:space="preserve">По стратегическому направлению «Обеспечение стабильности финансового рынка» 3 целевых индикатора, которые полностью исполнены; </w:t>
      </w:r>
    </w:p>
    <w:p w14:paraId="196E02FA"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2.</w:t>
      </w:r>
      <w:r w:rsidRPr="000B227F">
        <w:rPr>
          <w:rFonts w:ascii="Times New Roman" w:eastAsia="Times New Roman" w:hAnsi="Times New Roman" w:cs="Times New Roman"/>
          <w:bCs/>
          <w:sz w:val="24"/>
          <w:szCs w:val="24"/>
        </w:rPr>
        <w:tab/>
        <w:t>По стратегическому направлению «Повышение эффективности финансового сектора для финансирования экономики» 2 целевых индикатора, которые полностью исполнены;</w:t>
      </w:r>
    </w:p>
    <w:p w14:paraId="2C74E4E6"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3.</w:t>
      </w:r>
      <w:r w:rsidRPr="000B227F">
        <w:rPr>
          <w:rFonts w:ascii="Times New Roman" w:eastAsia="Times New Roman" w:hAnsi="Times New Roman" w:cs="Times New Roman"/>
          <w:bCs/>
          <w:sz w:val="24"/>
          <w:szCs w:val="24"/>
        </w:rPr>
        <w:tab/>
        <w:t>По стратегическому направлению «Защита прав потребителей финансовых услуг, повышение финансовой доступности и финансовой грамотности» 1 целевой индикатор, который полностью исполнен;</w:t>
      </w:r>
    </w:p>
    <w:p w14:paraId="1B7E0840"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4.</w:t>
      </w:r>
      <w:r w:rsidRPr="000B227F">
        <w:rPr>
          <w:rFonts w:ascii="Times New Roman" w:eastAsia="Times New Roman" w:hAnsi="Times New Roman" w:cs="Times New Roman"/>
          <w:bCs/>
          <w:sz w:val="24"/>
          <w:szCs w:val="24"/>
        </w:rPr>
        <w:tab/>
        <w:t>По стратегическому направлению «Конкуренция» 1 целевой индикатор, который полностью исполнен;</w:t>
      </w:r>
    </w:p>
    <w:p w14:paraId="4D0F37AC"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5.</w:t>
      </w:r>
      <w:r w:rsidRPr="000B227F">
        <w:rPr>
          <w:rFonts w:ascii="Times New Roman" w:eastAsia="Times New Roman" w:hAnsi="Times New Roman" w:cs="Times New Roman"/>
          <w:bCs/>
          <w:sz w:val="24"/>
          <w:szCs w:val="24"/>
        </w:rPr>
        <w:tab/>
        <w:t xml:space="preserve">По стратегическому направлению «Применение новых технологий на финансовом рынке, </w:t>
      </w:r>
      <w:proofErr w:type="spellStart"/>
      <w:r w:rsidRPr="000B227F">
        <w:rPr>
          <w:rFonts w:ascii="Times New Roman" w:eastAsia="Times New Roman" w:hAnsi="Times New Roman" w:cs="Times New Roman"/>
          <w:bCs/>
          <w:sz w:val="24"/>
          <w:szCs w:val="24"/>
        </w:rPr>
        <w:t>цифровизация</w:t>
      </w:r>
      <w:proofErr w:type="spellEnd"/>
      <w:r w:rsidRPr="000B227F">
        <w:rPr>
          <w:rFonts w:ascii="Times New Roman" w:eastAsia="Times New Roman" w:hAnsi="Times New Roman" w:cs="Times New Roman"/>
          <w:bCs/>
          <w:sz w:val="24"/>
          <w:szCs w:val="24"/>
        </w:rPr>
        <w:t xml:space="preserve"> финансовых услуг» 1 целевой индикатор, который полностью исполнен;</w:t>
      </w:r>
    </w:p>
    <w:p w14:paraId="5BD792B5"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6.</w:t>
      </w:r>
      <w:r w:rsidRPr="000B227F">
        <w:rPr>
          <w:rFonts w:ascii="Times New Roman" w:eastAsia="Times New Roman" w:hAnsi="Times New Roman" w:cs="Times New Roman"/>
          <w:bCs/>
          <w:sz w:val="24"/>
          <w:szCs w:val="24"/>
        </w:rPr>
        <w:tab/>
        <w:t xml:space="preserve">По стратегическому направлению «Развитие системы микрофинансирования» </w:t>
      </w:r>
      <w:r w:rsidRPr="000B227F">
        <w:rPr>
          <w:rFonts w:ascii="Times New Roman" w:eastAsia="Times New Roman" w:hAnsi="Times New Roman" w:cs="Times New Roman"/>
          <w:bCs/>
          <w:sz w:val="24"/>
          <w:szCs w:val="24"/>
        </w:rPr>
        <w:br/>
        <w:t>1 целевой индикатор, который полностью исполнен;</w:t>
      </w:r>
    </w:p>
    <w:p w14:paraId="7823FFB2"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7.</w:t>
      </w:r>
      <w:r w:rsidRPr="000B227F">
        <w:rPr>
          <w:rFonts w:ascii="Times New Roman" w:eastAsia="Times New Roman" w:hAnsi="Times New Roman" w:cs="Times New Roman"/>
          <w:bCs/>
          <w:sz w:val="24"/>
          <w:szCs w:val="24"/>
        </w:rPr>
        <w:tab/>
        <w:t>По стратегическому направлению «</w:t>
      </w:r>
      <w:proofErr w:type="spellStart"/>
      <w:r w:rsidRPr="000B227F">
        <w:rPr>
          <w:rFonts w:ascii="Times New Roman" w:eastAsia="Times New Roman" w:hAnsi="Times New Roman" w:cs="Times New Roman"/>
          <w:bCs/>
          <w:sz w:val="24"/>
          <w:szCs w:val="24"/>
        </w:rPr>
        <w:t>Кибербезопасность</w:t>
      </w:r>
      <w:proofErr w:type="spellEnd"/>
      <w:r w:rsidRPr="000B227F">
        <w:rPr>
          <w:rFonts w:ascii="Times New Roman" w:eastAsia="Times New Roman" w:hAnsi="Times New Roman" w:cs="Times New Roman"/>
          <w:bCs/>
          <w:sz w:val="24"/>
          <w:szCs w:val="24"/>
        </w:rPr>
        <w:t>» 1 целевой индикатор, который полностью исполнен;</w:t>
      </w:r>
    </w:p>
    <w:p w14:paraId="1815369E" w14:textId="77777777" w:rsidR="001516F0" w:rsidRPr="000B227F" w:rsidRDefault="001516F0" w:rsidP="001516F0">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0B227F">
        <w:rPr>
          <w:rFonts w:ascii="Times New Roman" w:eastAsia="Times New Roman" w:hAnsi="Times New Roman" w:cs="Times New Roman"/>
          <w:bCs/>
          <w:sz w:val="24"/>
          <w:szCs w:val="24"/>
        </w:rPr>
        <w:t>8.</w:t>
      </w:r>
      <w:r w:rsidRPr="000B227F">
        <w:rPr>
          <w:rFonts w:ascii="Times New Roman" w:eastAsia="Times New Roman" w:hAnsi="Times New Roman" w:cs="Times New Roman"/>
          <w:bCs/>
          <w:sz w:val="24"/>
          <w:szCs w:val="24"/>
        </w:rPr>
        <w:tab/>
        <w:t>По стратегическому направлению «Противодействие отмыванию денег и финансированию терроризма» 1 целевой индикатор, который полностью исполнен.</w:t>
      </w:r>
    </w:p>
    <w:p w14:paraId="00DD150F" w14:textId="77777777" w:rsidR="001516F0" w:rsidRPr="000B227F" w:rsidRDefault="001516F0" w:rsidP="001516F0">
      <w:pPr>
        <w:spacing w:after="0" w:line="240" w:lineRule="auto"/>
        <w:ind w:firstLine="709"/>
        <w:contextualSpacing/>
        <w:jc w:val="both"/>
        <w:rPr>
          <w:rFonts w:ascii="Times New Roman" w:hAnsi="Times New Roman" w:cs="Times New Roman"/>
          <w:b/>
          <w:sz w:val="24"/>
          <w:szCs w:val="24"/>
        </w:rPr>
      </w:pPr>
    </w:p>
    <w:p w14:paraId="3C7D82C4" w14:textId="77777777" w:rsidR="001516F0" w:rsidRPr="000B227F" w:rsidRDefault="001516F0" w:rsidP="001516F0">
      <w:pPr>
        <w:spacing w:after="0" w:line="240" w:lineRule="auto"/>
        <w:contextualSpacing/>
        <w:jc w:val="center"/>
        <w:rPr>
          <w:rFonts w:ascii="Times New Roman" w:hAnsi="Times New Roman" w:cs="Times New Roman"/>
          <w:b/>
          <w:sz w:val="24"/>
          <w:szCs w:val="24"/>
        </w:rPr>
      </w:pPr>
      <w:r w:rsidRPr="000B227F">
        <w:rPr>
          <w:rFonts w:ascii="Times New Roman" w:hAnsi="Times New Roman" w:cs="Times New Roman"/>
          <w:b/>
          <w:sz w:val="24"/>
          <w:szCs w:val="24"/>
        </w:rPr>
        <w:t>Раздел 1. Анализ управления рисками</w:t>
      </w:r>
    </w:p>
    <w:p w14:paraId="360E7A63" w14:textId="77777777" w:rsidR="001516F0" w:rsidRPr="000B227F" w:rsidRDefault="001516F0" w:rsidP="001516F0">
      <w:pPr>
        <w:spacing w:after="0" w:line="240" w:lineRule="auto"/>
        <w:contextualSpacing/>
        <w:jc w:val="center"/>
        <w:rPr>
          <w:rFonts w:ascii="Times New Roman" w:hAnsi="Times New Roman" w:cs="Times New Roman"/>
          <w:b/>
          <w:sz w:val="24"/>
          <w:szCs w:val="24"/>
          <w:u w:val="single"/>
        </w:rPr>
      </w:pPr>
    </w:p>
    <w:p w14:paraId="6479FD75"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1.</w:t>
      </w:r>
    </w:p>
    <w:p w14:paraId="36FD5502"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Обеспечение стабильности финансового рынка</w:t>
      </w:r>
    </w:p>
    <w:p w14:paraId="2FB30FF5"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p>
    <w:p w14:paraId="037808DE"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Цель 1. Повышение уровня финансовой устойчивости финансовых организаций</w:t>
      </w:r>
    </w:p>
    <w:p w14:paraId="2EF8DE7A"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Дефицит ликвидности, низкое качество активов, риск дефолта клиентов, как следствие неблагоприятных изменений в экономике</w:t>
      </w:r>
    </w:p>
    <w:p w14:paraId="1C7BC025"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1)</w:t>
      </w:r>
      <w:r w:rsidRPr="000B227F">
        <w:rPr>
          <w:rFonts w:ascii="Times New Roman" w:hAnsi="Times New Roman" w:cs="Times New Roman"/>
          <w:b/>
          <w:i/>
          <w:sz w:val="24"/>
          <w:szCs w:val="24"/>
        </w:rPr>
        <w:tab/>
        <w:t>Формирование плана мероприятий на случай непредвиденных обстоятельств</w:t>
      </w:r>
    </w:p>
    <w:p w14:paraId="52870C67"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21F3B7C4"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Банковский сектор </w:t>
      </w:r>
    </w:p>
    <w:p w14:paraId="1DDDA6B5" w14:textId="77777777" w:rsidR="001516F0" w:rsidRPr="000B227F" w:rsidRDefault="001516F0" w:rsidP="001516F0">
      <w:pPr>
        <w:tabs>
          <w:tab w:val="left" w:pos="34"/>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марте 2020 года завершена независимая оценка качества активов (AQR, </w:t>
      </w:r>
      <w:proofErr w:type="spellStart"/>
      <w:r w:rsidRPr="000B227F">
        <w:rPr>
          <w:rFonts w:ascii="Times New Roman" w:hAnsi="Times New Roman" w:cs="Times New Roman"/>
          <w:sz w:val="24"/>
          <w:szCs w:val="24"/>
        </w:rPr>
        <w:t>Asset</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Quality</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Review</w:t>
      </w:r>
      <w:proofErr w:type="spellEnd"/>
      <w:r w:rsidRPr="000B227F">
        <w:rPr>
          <w:rFonts w:ascii="Times New Roman" w:hAnsi="Times New Roman" w:cs="Times New Roman"/>
          <w:sz w:val="24"/>
          <w:szCs w:val="24"/>
        </w:rPr>
        <w:t xml:space="preserve">) 14 крупнейших банков Казахстана, на долю которых приходится 87% активов и 90% кредитного портфеля банковской системы, проведенная на основе методологии AQR Европейского Центрального Банка. </w:t>
      </w:r>
    </w:p>
    <w:p w14:paraId="5B5132B0" w14:textId="77777777" w:rsidR="001516F0" w:rsidRPr="000B227F" w:rsidRDefault="001516F0" w:rsidP="001516F0">
      <w:pPr>
        <w:pStyle w:val="ConsPlusNormal"/>
        <w:tabs>
          <w:tab w:val="left" w:pos="34"/>
        </w:tabs>
        <w:ind w:firstLine="709"/>
        <w:jc w:val="both"/>
        <w:rPr>
          <w:rFonts w:ascii="Times New Roman" w:eastAsiaTheme="minorHAnsi" w:hAnsi="Times New Roman" w:cs="Times New Roman"/>
          <w:sz w:val="24"/>
          <w:szCs w:val="24"/>
          <w:lang w:eastAsia="en-US"/>
        </w:rPr>
      </w:pPr>
      <w:r w:rsidRPr="000B227F">
        <w:rPr>
          <w:rFonts w:ascii="Times New Roman" w:eastAsiaTheme="minorHAnsi" w:hAnsi="Times New Roman" w:cs="Times New Roman"/>
          <w:sz w:val="24"/>
          <w:szCs w:val="24"/>
          <w:lang w:eastAsia="en-US"/>
        </w:rPr>
        <w:t xml:space="preserve">По итогам AQR Агентством были согласованы Индивидуальные надзорные планы </w:t>
      </w:r>
      <w:r w:rsidRPr="000B227F">
        <w:rPr>
          <w:rFonts w:ascii="Times New Roman" w:eastAsiaTheme="minorHAnsi" w:hAnsi="Times New Roman" w:cs="Times New Roman"/>
          <w:sz w:val="24"/>
          <w:szCs w:val="24"/>
          <w:lang w:eastAsia="en-US"/>
        </w:rPr>
        <w:lastRenderedPageBreak/>
        <w:t xml:space="preserve">корректирующих мер, включающие до 2,5 тыс. мероприятий на каждый банк, которые позволят существенно трансформировать ключевые бизнес-процессы банков. </w:t>
      </w:r>
    </w:p>
    <w:p w14:paraId="551267F9"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Для оценки достаточности капитала банков для покрытия потенциальных убытков при реализации стрессовых сценариев развития экономики в 2020 году Агентством было впервые проведено надзорное стресс-тестирование и анализ финансовой устойчивости 14 банков, участвовавших в AQR. </w:t>
      </w:r>
    </w:p>
    <w:p w14:paraId="3E2B93B9" w14:textId="77777777" w:rsidR="001516F0" w:rsidRPr="000B227F" w:rsidRDefault="001516F0" w:rsidP="001516F0">
      <w:pPr>
        <w:widowControl w:val="0"/>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По результатам надзорного стресс-тестирования и анализа финансовой устойчивости банки разработали Стратегии обеспечения финансовой устойчивости, включающие в себя обязательные мероприятия со сроком реализации до конца 2022 года по улучшению качества управления и контроля, обеспечению роста собственного капитала банков и другие. </w:t>
      </w:r>
    </w:p>
    <w:p w14:paraId="28CEF900"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Страховой сектор </w:t>
      </w:r>
    </w:p>
    <w:p w14:paraId="273331D8"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sz w:val="24"/>
          <w:szCs w:val="24"/>
        </w:rPr>
        <w:t>Осуществление мероприятий в 2020 году не требовалось ввиду высокого уровня устойчивости и платежеспособности страховых организаций. По итогам 2020 года достаточность маржи платежеспособности страховых организаций составила 6,31 при требовании не ниже 1.</w:t>
      </w:r>
    </w:p>
    <w:p w14:paraId="720BF1D3" w14:textId="77777777" w:rsidR="001516F0" w:rsidRPr="000B227F" w:rsidRDefault="001516F0" w:rsidP="001516F0">
      <w:pPr>
        <w:tabs>
          <w:tab w:val="left" w:pos="34"/>
        </w:tabs>
        <w:spacing w:after="0" w:line="240" w:lineRule="auto"/>
        <w:ind w:firstLine="709"/>
        <w:jc w:val="both"/>
        <w:rPr>
          <w:rFonts w:ascii="Times New Roman" w:hAnsi="Times New Roman" w:cs="Times New Roman"/>
          <w:i/>
          <w:sz w:val="24"/>
          <w:szCs w:val="24"/>
        </w:rPr>
      </w:pPr>
      <w:r w:rsidRPr="000B227F">
        <w:rPr>
          <w:rFonts w:ascii="Times New Roman" w:hAnsi="Times New Roman" w:cs="Times New Roman"/>
          <w:i/>
          <w:sz w:val="24"/>
          <w:szCs w:val="24"/>
        </w:rPr>
        <w:t xml:space="preserve">Профессиональные участники рынка ценных бумаг </w:t>
      </w:r>
    </w:p>
    <w:p w14:paraId="4F491AFF"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Осуществление мероприятий в 2020 году не требовалось.</w:t>
      </w:r>
    </w:p>
    <w:p w14:paraId="429D7F7B"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p>
    <w:p w14:paraId="2F30592B"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 xml:space="preserve">2) Разработка планов по </w:t>
      </w:r>
      <w:proofErr w:type="spellStart"/>
      <w:r w:rsidRPr="000B227F">
        <w:rPr>
          <w:rFonts w:ascii="Times New Roman" w:hAnsi="Times New Roman" w:cs="Times New Roman"/>
          <w:b/>
          <w:i/>
          <w:sz w:val="24"/>
          <w:szCs w:val="24"/>
        </w:rPr>
        <w:t>докапитализации</w:t>
      </w:r>
      <w:proofErr w:type="spellEnd"/>
      <w:r w:rsidRPr="000B227F">
        <w:rPr>
          <w:rFonts w:ascii="Times New Roman" w:hAnsi="Times New Roman" w:cs="Times New Roman"/>
          <w:b/>
          <w:i/>
          <w:sz w:val="24"/>
          <w:szCs w:val="24"/>
        </w:rPr>
        <w:t xml:space="preserve"> акционерами финансовых организаций при ухудшении финансового состояния</w:t>
      </w:r>
    </w:p>
    <w:p w14:paraId="6CD98509"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6FD18FDF"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Банковский сектор </w:t>
      </w:r>
    </w:p>
    <w:p w14:paraId="5589438A" w14:textId="77777777" w:rsidR="001516F0" w:rsidRPr="000B227F" w:rsidRDefault="001516F0" w:rsidP="001516F0">
      <w:pPr>
        <w:tabs>
          <w:tab w:val="left" w:pos="34"/>
        </w:tabs>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 xml:space="preserve">В целях повышения финансовой устойчивости банковского сектора была проведена работа по дальнейшей реализации Программы повышения финансовой устойчивости банковского сектора, в рамках которой в марте 2020 года согласованы пятилетние планы мероприятий банков, содержащие в том числе меры по </w:t>
      </w:r>
      <w:proofErr w:type="spellStart"/>
      <w:r w:rsidRPr="000B227F">
        <w:rPr>
          <w:rFonts w:ascii="Times New Roman" w:hAnsi="Times New Roman" w:cs="Times New Roman"/>
          <w:sz w:val="24"/>
          <w:szCs w:val="24"/>
        </w:rPr>
        <w:t>докапитализации</w:t>
      </w:r>
      <w:proofErr w:type="spellEnd"/>
      <w:r w:rsidRPr="000B227F">
        <w:rPr>
          <w:rFonts w:ascii="Times New Roman" w:hAnsi="Times New Roman" w:cs="Times New Roman"/>
          <w:sz w:val="24"/>
          <w:szCs w:val="24"/>
        </w:rPr>
        <w:t xml:space="preserve"> банков акционерами. </w:t>
      </w:r>
    </w:p>
    <w:p w14:paraId="0DF0E3C5" w14:textId="77777777" w:rsidR="001516F0" w:rsidRPr="000B227F" w:rsidRDefault="001516F0" w:rsidP="001516F0">
      <w:pPr>
        <w:tabs>
          <w:tab w:val="left" w:pos="34"/>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Страховой сектор </w:t>
      </w:r>
    </w:p>
    <w:p w14:paraId="6D5EBFD9"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 xml:space="preserve">Осуществление мероприятий в 2020 году не требовалось. </w:t>
      </w:r>
    </w:p>
    <w:p w14:paraId="66F2EC61"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Профессиональные участники рынка ценных бумаг </w:t>
      </w:r>
    </w:p>
    <w:p w14:paraId="10632B85"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Осуществление мероприятий в 2020 году не требовалось.</w:t>
      </w:r>
    </w:p>
    <w:p w14:paraId="47893E78"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p>
    <w:p w14:paraId="772E616D"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 xml:space="preserve">3) Совершенствование риск-ориентированного надзора и </w:t>
      </w:r>
      <w:proofErr w:type="spellStart"/>
      <w:r w:rsidRPr="000B227F">
        <w:rPr>
          <w:rFonts w:ascii="Times New Roman" w:hAnsi="Times New Roman" w:cs="Times New Roman"/>
          <w:b/>
          <w:i/>
          <w:sz w:val="24"/>
          <w:szCs w:val="24"/>
        </w:rPr>
        <w:t>пруденциального</w:t>
      </w:r>
      <w:proofErr w:type="spellEnd"/>
      <w:r w:rsidRPr="000B227F">
        <w:rPr>
          <w:rFonts w:ascii="Times New Roman" w:hAnsi="Times New Roman" w:cs="Times New Roman"/>
          <w:b/>
          <w:i/>
          <w:sz w:val="24"/>
          <w:szCs w:val="24"/>
        </w:rPr>
        <w:t xml:space="preserve"> регулирования финансовых организаций</w:t>
      </w:r>
    </w:p>
    <w:p w14:paraId="495C78A6"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7B8D616D"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 Банковский сектор </w:t>
      </w:r>
    </w:p>
    <w:p w14:paraId="79DF8CBA"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Установлены правовые рамки, регулирующие операции банков с производными финансовыми инструментами в рамках Правил расчета валютной позиции банков. Данная мера направлена на снижение валютных спекуляций банков.</w:t>
      </w:r>
    </w:p>
    <w:p w14:paraId="1026BEC6"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Договоры страхования, содержащие пункты о безусловном и безотзывном исполнении обязательств по страховой выплате, заключенные с национальной компанией </w:t>
      </w:r>
      <w:proofErr w:type="spellStart"/>
      <w:r w:rsidRPr="000B227F">
        <w:rPr>
          <w:rFonts w:ascii="Times New Roman" w:hAnsi="Times New Roman" w:cs="Times New Roman"/>
          <w:sz w:val="24"/>
          <w:szCs w:val="24"/>
        </w:rPr>
        <w:t>KazakhExport</w:t>
      </w:r>
      <w:proofErr w:type="spellEnd"/>
      <w:r w:rsidRPr="000B227F">
        <w:rPr>
          <w:rFonts w:ascii="Times New Roman" w:hAnsi="Times New Roman" w:cs="Times New Roman"/>
          <w:sz w:val="24"/>
          <w:szCs w:val="24"/>
        </w:rPr>
        <w:t xml:space="preserve">, признаны в качестве высоколиквидного обеспечения для целей расчета достаточности капитала и риска на одного заемщика. </w:t>
      </w:r>
    </w:p>
    <w:p w14:paraId="39716781"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Не признается нарушением норматива максимального риска на одного заемщика превышение значения норматива в результате реорганизации дочерних организаций акционерного общества «Национальный управляющий холдинг «</w:t>
      </w:r>
      <w:proofErr w:type="spellStart"/>
      <w:r w:rsidRPr="000B227F">
        <w:rPr>
          <w:rFonts w:ascii="Times New Roman" w:hAnsi="Times New Roman" w:cs="Times New Roman"/>
          <w:sz w:val="24"/>
          <w:szCs w:val="24"/>
        </w:rPr>
        <w:t>Байтерек</w:t>
      </w:r>
      <w:proofErr w:type="spellEnd"/>
      <w:r w:rsidRPr="000B227F">
        <w:rPr>
          <w:rFonts w:ascii="Times New Roman" w:hAnsi="Times New Roman" w:cs="Times New Roman"/>
          <w:sz w:val="24"/>
          <w:szCs w:val="24"/>
        </w:rPr>
        <w:t>» путем их присоединения к Единому оператору жилищного строительства.</w:t>
      </w:r>
    </w:p>
    <w:p w14:paraId="4E9C94D5"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Требование по минимальному размеру собственного капитала банков, единственным акционером которых является центральный банк другого государства, повышено с 4 млрд. тенге до 10 млрд. тенге. </w:t>
      </w:r>
    </w:p>
    <w:p w14:paraId="68068877"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рамках совершенствования риск-ориентированного надзора для оценки достаточности капитала банков для покрытия потенциальных убытков при реализации </w:t>
      </w:r>
      <w:r w:rsidRPr="000B227F">
        <w:rPr>
          <w:rFonts w:ascii="Times New Roman" w:hAnsi="Times New Roman" w:cs="Times New Roman"/>
          <w:sz w:val="24"/>
          <w:szCs w:val="24"/>
        </w:rPr>
        <w:lastRenderedPageBreak/>
        <w:t xml:space="preserve">стрессовых сценариев развития экономики проведено надзорное стресс-тестирование и анализ финансовой устойчивости, о результатах которого указано выше. </w:t>
      </w:r>
    </w:p>
    <w:p w14:paraId="5DAE3C4F" w14:textId="77777777" w:rsidR="001516F0" w:rsidRPr="000B227F" w:rsidRDefault="001516F0" w:rsidP="001516F0">
      <w:pPr>
        <w:tabs>
          <w:tab w:val="left" w:pos="34"/>
        </w:tabs>
        <w:spacing w:after="0" w:line="240" w:lineRule="auto"/>
        <w:ind w:firstLine="709"/>
        <w:jc w:val="both"/>
        <w:rPr>
          <w:rFonts w:ascii="Times New Roman" w:hAnsi="Times New Roman" w:cs="Times New Roman"/>
          <w:i/>
          <w:sz w:val="24"/>
          <w:szCs w:val="24"/>
        </w:rPr>
      </w:pPr>
      <w:r w:rsidRPr="000B227F">
        <w:rPr>
          <w:rFonts w:ascii="Times New Roman" w:hAnsi="Times New Roman" w:cs="Times New Roman"/>
          <w:i/>
          <w:sz w:val="24"/>
          <w:szCs w:val="24"/>
        </w:rPr>
        <w:t xml:space="preserve">Страховой сектор </w:t>
      </w:r>
    </w:p>
    <w:p w14:paraId="004C7EF1"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рамках внедрения отдельных элементов международного стандарта </w:t>
      </w:r>
      <w:proofErr w:type="spellStart"/>
      <w:r w:rsidRPr="000B227F">
        <w:rPr>
          <w:rFonts w:ascii="Times New Roman" w:hAnsi="Times New Roman" w:cs="Times New Roman"/>
          <w:sz w:val="24"/>
          <w:szCs w:val="24"/>
        </w:rPr>
        <w:t>Solvency</w:t>
      </w:r>
      <w:proofErr w:type="spellEnd"/>
      <w:r w:rsidRPr="000B227F">
        <w:rPr>
          <w:rFonts w:ascii="Times New Roman" w:hAnsi="Times New Roman" w:cs="Times New Roman"/>
          <w:sz w:val="24"/>
          <w:szCs w:val="24"/>
        </w:rPr>
        <w:t xml:space="preserve"> II принята отложенная норма по расчету страховой организацией нормативов диверсификации активов от суммы общих страховых резервов с 2022 года, при этом для отдельной категории активов установлено поэтапное (в период с 2022 по 2024 годы) ужесточение требований к суммарному размеру диверсификации. </w:t>
      </w:r>
    </w:p>
    <w:p w14:paraId="11AE87AB"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Кроме того, исключен норматив диверсификации по операциям «обратное РЕПО», что обусловлено достаточной диверсификацией риска концентрации на одного эмитента в рамках отдельных ограничений по качеству контрагента.</w:t>
      </w:r>
    </w:p>
    <w:p w14:paraId="6F9773BA"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Из расчета активов по качеству и ликвидности исключены акции АО «Фонд гарантирования страховых выплат» в связи с низкой ликвидностью и отсутствием у них рыночной цены. </w:t>
      </w:r>
    </w:p>
    <w:p w14:paraId="203F8F27"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целях поддержания и дальнейшего развития направления медицинского страхования на 30% снижен минимальный размер маржи платежеспособности для страховых (перестраховочных) организаций с основным видом деятельности по классам «страхование на случай болезни» и «обязательное страхование туриста». </w:t>
      </w:r>
    </w:p>
    <w:p w14:paraId="41639C77"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В целях совершенствования риск-ориентированного надзора в 2020 году Агентство внедрило внутреннюю и внешнюю модели оценки рисков на основе качественных и количественных показателей. Внешняя модель оценки рисков страховых организаций разработана на основе элементов международной регуляторной системы IRIS (</w:t>
      </w:r>
      <w:proofErr w:type="spellStart"/>
      <w:r w:rsidRPr="000B227F">
        <w:rPr>
          <w:rFonts w:ascii="Times New Roman" w:hAnsi="Times New Roman" w:cs="Times New Roman"/>
          <w:sz w:val="24"/>
          <w:szCs w:val="24"/>
        </w:rPr>
        <w:t>Insurance</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Regulatory</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Information</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System</w:t>
      </w:r>
      <w:proofErr w:type="spellEnd"/>
      <w:r w:rsidRPr="000B227F">
        <w:rPr>
          <w:rFonts w:ascii="Times New Roman" w:hAnsi="Times New Roman" w:cs="Times New Roman"/>
          <w:sz w:val="24"/>
          <w:szCs w:val="24"/>
        </w:rPr>
        <w:t>), целью которой является маркирование сфер риска в деятельности страховой организации, а также повышение уровня осведомленности и ответственности собственников за результаты деятельности менеджмента (постановление Правления Агентства от 22.12.2020г. № 126</w:t>
      </w:r>
      <w:r w:rsidRPr="000B227F">
        <w:rPr>
          <w:rFonts w:ascii="Times New Roman" w:hAnsi="Times New Roman" w:cs="Times New Roman"/>
          <w:sz w:val="24"/>
          <w:szCs w:val="24"/>
          <w:vertAlign w:val="superscript"/>
        </w:rPr>
        <w:footnoteReference w:id="2"/>
      </w:r>
      <w:r w:rsidRPr="000B227F">
        <w:rPr>
          <w:rFonts w:ascii="Times New Roman" w:hAnsi="Times New Roman" w:cs="Times New Roman"/>
          <w:sz w:val="24"/>
          <w:szCs w:val="24"/>
        </w:rPr>
        <w:t>). Внутренняя модель оценки рисков страховых организаций представляет собой ежегодный надзорный процесс обзора и оценки всех рисков страховых организаций на основании набора количественных и качественных показателей, характеризующих их деятельность.</w:t>
      </w:r>
    </w:p>
    <w:p w14:paraId="25765E25" w14:textId="77777777" w:rsidR="001516F0" w:rsidRPr="000B227F" w:rsidRDefault="001516F0" w:rsidP="001516F0">
      <w:pPr>
        <w:tabs>
          <w:tab w:val="left" w:pos="34"/>
        </w:tabs>
        <w:spacing w:after="0" w:line="240" w:lineRule="auto"/>
        <w:ind w:firstLine="709"/>
        <w:jc w:val="both"/>
        <w:rPr>
          <w:rFonts w:ascii="Times New Roman" w:hAnsi="Times New Roman" w:cs="Times New Roman"/>
          <w:i/>
          <w:sz w:val="24"/>
          <w:szCs w:val="24"/>
        </w:rPr>
      </w:pPr>
      <w:r w:rsidRPr="000B227F">
        <w:rPr>
          <w:rFonts w:ascii="Times New Roman" w:hAnsi="Times New Roman" w:cs="Times New Roman"/>
          <w:i/>
          <w:sz w:val="24"/>
          <w:szCs w:val="24"/>
        </w:rPr>
        <w:t xml:space="preserve">Профессиональные участники рынка ценных бумаг </w:t>
      </w:r>
    </w:p>
    <w:p w14:paraId="49066DE9"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В отчетном периоде для обеспечения финансовой устойчивости финансовых организаций  Правлением Агентства принято постановление от 29.07.2020г. № 68</w:t>
      </w:r>
      <w:r w:rsidRPr="000B227F">
        <w:rPr>
          <w:rStyle w:val="a5"/>
          <w:rFonts w:ascii="Times New Roman" w:hAnsi="Times New Roman" w:cs="Times New Roman"/>
          <w:sz w:val="24"/>
          <w:szCs w:val="24"/>
        </w:rPr>
        <w:footnoteReference w:id="3"/>
      </w:r>
      <w:r w:rsidRPr="000B227F">
        <w:rPr>
          <w:rFonts w:ascii="Times New Roman" w:hAnsi="Times New Roman" w:cs="Times New Roman"/>
          <w:sz w:val="24"/>
          <w:szCs w:val="24"/>
        </w:rPr>
        <w:t xml:space="preserve">, направленное на установление требования по раскрытию эмитентами методики определения стоимости акций при их выкупе акционерным обществом на неорганизованном рынке на </w:t>
      </w:r>
      <w:proofErr w:type="spellStart"/>
      <w:r w:rsidRPr="000B227F">
        <w:rPr>
          <w:rFonts w:ascii="Times New Roman" w:hAnsi="Times New Roman" w:cs="Times New Roman"/>
          <w:sz w:val="24"/>
          <w:szCs w:val="24"/>
        </w:rPr>
        <w:t>интернет-ресурсе</w:t>
      </w:r>
      <w:proofErr w:type="spellEnd"/>
      <w:r w:rsidRPr="000B227F">
        <w:rPr>
          <w:rFonts w:ascii="Times New Roman" w:hAnsi="Times New Roman" w:cs="Times New Roman"/>
          <w:sz w:val="24"/>
          <w:szCs w:val="24"/>
        </w:rPr>
        <w:t xml:space="preserve"> депозитария финансовой отчетности, а также на совершенствование </w:t>
      </w:r>
      <w:proofErr w:type="spellStart"/>
      <w:r w:rsidRPr="000B227F">
        <w:rPr>
          <w:rFonts w:ascii="Times New Roman" w:hAnsi="Times New Roman" w:cs="Times New Roman"/>
          <w:sz w:val="24"/>
          <w:szCs w:val="24"/>
        </w:rPr>
        <w:t>пруденциальных</w:t>
      </w:r>
      <w:proofErr w:type="spellEnd"/>
      <w:r w:rsidRPr="000B227F">
        <w:rPr>
          <w:rFonts w:ascii="Times New Roman" w:hAnsi="Times New Roman" w:cs="Times New Roman"/>
          <w:sz w:val="24"/>
          <w:szCs w:val="24"/>
        </w:rPr>
        <w:t xml:space="preserve"> нормативов Национального оператора почты. </w:t>
      </w:r>
    </w:p>
    <w:p w14:paraId="16B34D87"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рамках совершенствования риск-ориентированного надзора в 2020 году внедрена новая система оценки рисков профессиональных участников рынка ценных бумаг </w:t>
      </w:r>
      <w:proofErr w:type="spellStart"/>
      <w:r w:rsidRPr="000B227F">
        <w:rPr>
          <w:rFonts w:ascii="Times New Roman" w:hAnsi="Times New Roman" w:cs="Times New Roman"/>
          <w:sz w:val="24"/>
          <w:szCs w:val="24"/>
        </w:rPr>
        <w:t>Risk</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Assessment</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and</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Supervision</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System</w:t>
      </w:r>
      <w:proofErr w:type="spellEnd"/>
      <w:r w:rsidRPr="000B227F">
        <w:rPr>
          <w:rFonts w:ascii="Times New Roman" w:hAnsi="Times New Roman" w:cs="Times New Roman"/>
          <w:sz w:val="24"/>
          <w:szCs w:val="24"/>
        </w:rPr>
        <w:t xml:space="preserve"> (RASS), которая на основании оценки комплекса количественных и качественных параметров деятельности профессиональных участников рынка ценных бумаг по факторам оценки системной значимости, бизнес-профиля, риск-профиля, риск-менеджмента и поведенческих показателей позволяет ранжировать профессиональных участников рынка ценных бумаг по степени рисков и для каждого из них определять соответствующий режим надзора (интенсивный, умеренно интенсивный, стандартный).</w:t>
      </w:r>
    </w:p>
    <w:p w14:paraId="77B1EB43"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p>
    <w:p w14:paraId="7F9B6485"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p>
    <w:p w14:paraId="076C33D6"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p>
    <w:p w14:paraId="5D0D5369"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lastRenderedPageBreak/>
        <w:t>4) Принятие надзорных мер для повышения устойчивости и способности противодействия финансовых организаций к внутренним и внешним угрозам и шокам</w:t>
      </w:r>
    </w:p>
    <w:p w14:paraId="6345C599"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06BA725A"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Банковский сектор </w:t>
      </w:r>
    </w:p>
    <w:p w14:paraId="39C18C29" w14:textId="77777777" w:rsidR="001516F0" w:rsidRPr="000B227F" w:rsidRDefault="001516F0" w:rsidP="001516F0">
      <w:pPr>
        <w:widowControl w:val="0"/>
        <w:spacing w:after="0" w:line="240" w:lineRule="auto"/>
        <w:ind w:firstLine="709"/>
        <w:jc w:val="both"/>
        <w:rPr>
          <w:rFonts w:ascii="Times New Roman" w:eastAsia="Calibri" w:hAnsi="Times New Roman" w:cs="Times New Roman"/>
          <w:sz w:val="24"/>
          <w:szCs w:val="24"/>
        </w:rPr>
      </w:pPr>
      <w:r w:rsidRPr="000B227F">
        <w:rPr>
          <w:rFonts w:ascii="Times New Roman" w:eastAsia="Calibri" w:hAnsi="Times New Roman" w:cs="Times New Roman"/>
          <w:sz w:val="24"/>
          <w:szCs w:val="24"/>
        </w:rPr>
        <w:t>По результатам проведенной в 2020 году оценки банковского сектора по системе SREP банки были ранжированы по степени риска, по результатам чего осуществлялись надзорные мероприятия. У одного банка была отозвана лицензия (в</w:t>
      </w:r>
      <w:r w:rsidRPr="000B227F">
        <w:rPr>
          <w:rFonts w:ascii="Times New Roman" w:eastAsia="Times New Roman" w:hAnsi="Times New Roman" w:cs="Times New Roman"/>
          <w:sz w:val="24"/>
          <w:szCs w:val="24"/>
          <w:lang w:eastAsia="ru-RU"/>
        </w:rPr>
        <w:t xml:space="preserve"> рамках мер по расчистке балансов банков от неработающих активов)</w:t>
      </w:r>
      <w:r w:rsidRPr="000B227F">
        <w:rPr>
          <w:rFonts w:ascii="Times New Roman" w:eastAsia="Calibri" w:hAnsi="Times New Roman" w:cs="Times New Roman"/>
          <w:sz w:val="24"/>
          <w:szCs w:val="24"/>
        </w:rPr>
        <w:t xml:space="preserve">, к двум банкам были применены принудительные меры по </w:t>
      </w:r>
      <w:proofErr w:type="spellStart"/>
      <w:r w:rsidRPr="000B227F">
        <w:rPr>
          <w:rFonts w:ascii="Times New Roman" w:eastAsia="Calibri" w:hAnsi="Times New Roman" w:cs="Times New Roman"/>
          <w:sz w:val="24"/>
          <w:szCs w:val="24"/>
        </w:rPr>
        <w:t>докапитализации</w:t>
      </w:r>
      <w:proofErr w:type="spellEnd"/>
      <w:r w:rsidRPr="000B227F">
        <w:rPr>
          <w:rFonts w:ascii="Times New Roman" w:eastAsia="Calibri" w:hAnsi="Times New Roman" w:cs="Times New Roman"/>
          <w:sz w:val="24"/>
          <w:szCs w:val="24"/>
        </w:rPr>
        <w:t xml:space="preserve"> банков, а один банк принял решение о добровольной ликвидации.</w:t>
      </w:r>
    </w:p>
    <w:p w14:paraId="512AD3D7" w14:textId="77777777" w:rsidR="001516F0" w:rsidRPr="000B227F" w:rsidRDefault="001516F0" w:rsidP="001516F0">
      <w:pPr>
        <w:pStyle w:val="a8"/>
        <w:tabs>
          <w:tab w:val="left" w:pos="464"/>
        </w:tabs>
        <w:ind w:left="0" w:firstLine="709"/>
        <w:rPr>
          <w:rFonts w:ascii="Times New Roman" w:hAnsi="Times New Roman"/>
          <w:i/>
          <w:sz w:val="24"/>
          <w:szCs w:val="24"/>
        </w:rPr>
      </w:pPr>
      <w:r w:rsidRPr="000B227F">
        <w:rPr>
          <w:rFonts w:ascii="Times New Roman" w:eastAsiaTheme="minorHAnsi" w:hAnsi="Times New Roman"/>
          <w:sz w:val="24"/>
          <w:szCs w:val="24"/>
        </w:rPr>
        <w:t>В отношение шести банков применены меры надзорного реагирования в части отсутствия внутреннего контроля в рамках ПОД/ФТ.</w:t>
      </w:r>
    </w:p>
    <w:p w14:paraId="730DBBDD" w14:textId="0C46C508" w:rsidR="001516F0" w:rsidRPr="000B227F" w:rsidRDefault="001516F0" w:rsidP="001516F0">
      <w:pPr>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В отношении некоторых банков применено мотивированное суждение о признании отдельных заемщиков лицами, связанными с банками особыми отношениями, а также о несоответствии системы управления рисками требованиям законодательства Республики Казахстан.</w:t>
      </w:r>
    </w:p>
    <w:p w14:paraId="70ED088A" w14:textId="77777777" w:rsidR="001516F0" w:rsidRPr="000B227F" w:rsidRDefault="001516F0" w:rsidP="001516F0">
      <w:pPr>
        <w:spacing w:after="0" w:line="240" w:lineRule="auto"/>
        <w:ind w:firstLine="709"/>
        <w:jc w:val="both"/>
        <w:rPr>
          <w:rFonts w:ascii="Times New Roman" w:hAnsi="Times New Roman" w:cs="Times New Roman"/>
          <w:i/>
          <w:sz w:val="24"/>
          <w:szCs w:val="24"/>
        </w:rPr>
      </w:pPr>
      <w:r w:rsidRPr="000B227F">
        <w:rPr>
          <w:rFonts w:ascii="Times New Roman" w:hAnsi="Times New Roman" w:cs="Times New Roman"/>
          <w:i/>
          <w:sz w:val="24"/>
          <w:szCs w:val="24"/>
        </w:rPr>
        <w:t xml:space="preserve">Страховой сектор </w:t>
      </w:r>
    </w:p>
    <w:p w14:paraId="506D8EB1"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В отчетном периоде за различные нарушения требований законодательства Республики Казахстан  в отношении субъектов страхового рынка вынесено 14 письменных предписаний, применено 29 рекомендательных мер надзорного реагирования, составлен 41 протокол об административном правонарушении, из которых 37 по нарушению требований законодательства о ПОД/ФТ, наложено административных штрафов на сумму 24 млн. тенге, приостановлено действие лицензии 1 страховой организации дважды на шесть месяцев и вынесено решение о передаче страхового портфеля по обязательным классам страхования. В рамках мер раннего реагирования согласованы планы мероприятий по недопущению ухудшения финансового состояния по 6 страховым организациям.</w:t>
      </w:r>
    </w:p>
    <w:p w14:paraId="1608002F" w14:textId="77777777" w:rsidR="001516F0" w:rsidRPr="000B227F" w:rsidRDefault="001516F0" w:rsidP="001516F0">
      <w:pPr>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sz w:val="24"/>
          <w:szCs w:val="24"/>
        </w:rPr>
        <w:t>В рамках исполнения решения Правления Агентства проводились мероприятия по контролю деятельности страховой организации, у которой приостановлена лицензия, а также процедура передачи страхового портфеля другой страховой организации.</w:t>
      </w:r>
    </w:p>
    <w:p w14:paraId="4BFBC36B"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Профессиональные участники рынка ценных бумаг </w:t>
      </w:r>
    </w:p>
    <w:p w14:paraId="1484D07E"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В целях повышения устойчивости ПУРЦБ и устранения факторов, влияющих на ухудшение их финансового положения, одобрено 7 планов мероприятий ПУРЦБ, предусматривающих меры раннего реагирования.</w:t>
      </w:r>
    </w:p>
    <w:p w14:paraId="463F2579"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p>
    <w:p w14:paraId="7F8D7988"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Недостатки в системах управления рисками и внутреннего контроля</w:t>
      </w:r>
    </w:p>
    <w:p w14:paraId="717C49CB"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Осуществление контроля и надзора за системами управления рисками, включая анализ и оценку внутренних документов, процедур принятия решений, структуры корпоративного управления, а также выявления основных недостатков и проблем в системах управления рисками и внутреннего контроля финансовых организаций и разработка соответствующих надзорных требований</w:t>
      </w:r>
    </w:p>
    <w:p w14:paraId="4827E675"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3DC0FE21"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Банковский сектор </w:t>
      </w:r>
    </w:p>
    <w:p w14:paraId="2FE219D9" w14:textId="77777777" w:rsidR="001516F0" w:rsidRPr="000B227F" w:rsidRDefault="001516F0" w:rsidP="001516F0">
      <w:pPr>
        <w:pStyle w:val="a8"/>
        <w:tabs>
          <w:tab w:val="left" w:pos="464"/>
        </w:tabs>
        <w:ind w:left="0" w:firstLine="709"/>
        <w:rPr>
          <w:rFonts w:ascii="Times New Roman" w:eastAsiaTheme="minorHAnsi" w:hAnsi="Times New Roman"/>
          <w:sz w:val="24"/>
          <w:szCs w:val="24"/>
        </w:rPr>
      </w:pPr>
      <w:r w:rsidRPr="000B227F">
        <w:rPr>
          <w:rFonts w:ascii="Times New Roman" w:eastAsiaTheme="minorHAnsi" w:hAnsi="Times New Roman"/>
          <w:sz w:val="24"/>
          <w:szCs w:val="24"/>
        </w:rPr>
        <w:t xml:space="preserve">В апреле 2020 года Агентством </w:t>
      </w:r>
      <w:r w:rsidRPr="000B227F">
        <w:rPr>
          <w:rFonts w:ascii="Times New Roman" w:hAnsi="Times New Roman"/>
          <w:sz w:val="24"/>
          <w:szCs w:val="24"/>
        </w:rPr>
        <w:t xml:space="preserve">согласованы </w:t>
      </w:r>
      <w:r w:rsidRPr="000B227F">
        <w:rPr>
          <w:rFonts w:ascii="Times New Roman" w:eastAsiaTheme="minorHAnsi" w:hAnsi="Times New Roman"/>
          <w:sz w:val="24"/>
          <w:szCs w:val="24"/>
        </w:rPr>
        <w:t>планы корректирующих мер банков-участников AQR. Общее количество запланированных на 2020-2023 годы мероприятий – 26</w:t>
      </w:r>
      <w:r w:rsidRPr="000B227F">
        <w:rPr>
          <w:rFonts w:ascii="Times New Roman" w:hAnsi="Times New Roman"/>
          <w:sz w:val="24"/>
          <w:szCs w:val="24"/>
        </w:rPr>
        <w:t> </w:t>
      </w:r>
      <w:r w:rsidRPr="000B227F">
        <w:rPr>
          <w:rFonts w:ascii="Times New Roman" w:eastAsiaTheme="minorHAnsi" w:hAnsi="Times New Roman"/>
          <w:sz w:val="24"/>
          <w:szCs w:val="24"/>
        </w:rPr>
        <w:t xml:space="preserve">612. </w:t>
      </w:r>
      <w:r w:rsidRPr="000B227F">
        <w:rPr>
          <w:rFonts w:ascii="Times New Roman" w:hAnsi="Times New Roman"/>
          <w:sz w:val="24"/>
          <w:szCs w:val="24"/>
        </w:rPr>
        <w:t xml:space="preserve">В рамках указанных планов в соответствии с лучшей международной практикой будут существенно трансформированы политики и процедуры банков в части выдачи займов, оценки залогов, улучшения системы корпоративного управления и управления рисками, учета и аудита. </w:t>
      </w:r>
    </w:p>
    <w:p w14:paraId="100655DA" w14:textId="77777777" w:rsidR="001516F0" w:rsidRPr="000B227F" w:rsidRDefault="001516F0" w:rsidP="001516F0">
      <w:pPr>
        <w:pStyle w:val="a8"/>
        <w:tabs>
          <w:tab w:val="left" w:pos="464"/>
        </w:tabs>
        <w:ind w:left="0" w:firstLine="709"/>
        <w:rPr>
          <w:rFonts w:ascii="Times New Roman" w:eastAsiaTheme="minorHAnsi" w:hAnsi="Times New Roman"/>
          <w:sz w:val="24"/>
          <w:szCs w:val="24"/>
        </w:rPr>
      </w:pPr>
      <w:r w:rsidRPr="000B227F">
        <w:rPr>
          <w:rFonts w:ascii="Times New Roman" w:eastAsiaTheme="minorHAnsi" w:hAnsi="Times New Roman"/>
          <w:sz w:val="24"/>
          <w:szCs w:val="24"/>
        </w:rPr>
        <w:t xml:space="preserve">По итогам 2020 года исполнено 17% от общего объема мероприятий. Так, улучшены подходы к кредитованию, </w:t>
      </w:r>
      <w:proofErr w:type="spellStart"/>
      <w:r w:rsidRPr="000B227F">
        <w:rPr>
          <w:rFonts w:ascii="Times New Roman" w:eastAsiaTheme="minorHAnsi" w:hAnsi="Times New Roman"/>
          <w:sz w:val="24"/>
          <w:szCs w:val="24"/>
        </w:rPr>
        <w:t>скорингу</w:t>
      </w:r>
      <w:proofErr w:type="spellEnd"/>
      <w:r w:rsidRPr="000B227F">
        <w:rPr>
          <w:rFonts w:ascii="Times New Roman" w:eastAsiaTheme="minorHAnsi" w:hAnsi="Times New Roman"/>
          <w:sz w:val="24"/>
          <w:szCs w:val="24"/>
        </w:rPr>
        <w:t xml:space="preserve"> и формированию провизий, расширен перечень связанных лиц и повышены требования к качеству финансовой отчетности заемщиков. </w:t>
      </w:r>
    </w:p>
    <w:p w14:paraId="5E1852A0" w14:textId="77777777" w:rsidR="001516F0" w:rsidRPr="000B227F" w:rsidRDefault="001516F0" w:rsidP="001516F0">
      <w:pPr>
        <w:pStyle w:val="a3"/>
        <w:spacing w:before="0" w:beforeAutospacing="0" w:after="0" w:afterAutospacing="0"/>
        <w:ind w:firstLine="709"/>
        <w:jc w:val="both"/>
        <w:rPr>
          <w:rFonts w:eastAsiaTheme="minorHAnsi"/>
          <w:lang w:eastAsia="en-US"/>
        </w:rPr>
      </w:pPr>
      <w:r w:rsidRPr="000B227F">
        <w:rPr>
          <w:rFonts w:eastAsiaTheme="minorHAnsi"/>
          <w:lang w:eastAsia="en-US"/>
        </w:rPr>
        <w:lastRenderedPageBreak/>
        <w:t>В 2020 году осуществлена оценка рисков 27 банков по системе SREP. Особое внимание уделено оценке качества кредитного портфеля, в ходе которого проанализирован уровень неработающих активов и их динамика.</w:t>
      </w:r>
    </w:p>
    <w:p w14:paraId="6626BA6F" w14:textId="77777777" w:rsidR="001516F0" w:rsidRPr="000B227F" w:rsidRDefault="001516F0" w:rsidP="001516F0">
      <w:pPr>
        <w:widowControl w:val="0"/>
        <w:tabs>
          <w:tab w:val="left" w:pos="709"/>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результате надзорного процесса согласованы индивидуальные планы мероприятий на 2020-2025 годы по снижению уровня неработающих активов 17 банков, имеющих высокую долю стрессовых активов, в результате реализации </w:t>
      </w:r>
      <w:proofErr w:type="gramStart"/>
      <w:r w:rsidRPr="000B227F">
        <w:rPr>
          <w:rFonts w:ascii="Times New Roman" w:hAnsi="Times New Roman" w:cs="Times New Roman"/>
          <w:sz w:val="24"/>
          <w:szCs w:val="24"/>
        </w:rPr>
        <w:t>которых  ожидается</w:t>
      </w:r>
      <w:proofErr w:type="gramEnd"/>
      <w:r w:rsidRPr="000B227F">
        <w:rPr>
          <w:rFonts w:ascii="Times New Roman" w:hAnsi="Times New Roman" w:cs="Times New Roman"/>
          <w:sz w:val="24"/>
          <w:szCs w:val="24"/>
        </w:rPr>
        <w:t xml:space="preserve"> снижение проблемных займов с 2,7 трлн. тенге до 0,9 трлн. тенге к началу 2026 года. За ненадлежащее исполнение указанных планов предусмотрена ответственность руководителей банков, вплоть до их освобождения от должности.</w:t>
      </w:r>
    </w:p>
    <w:p w14:paraId="76CB2D41"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Страховой сектор </w:t>
      </w:r>
    </w:p>
    <w:p w14:paraId="6B941D42"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eastAsia="Calibri" w:hAnsi="Times New Roman" w:cs="Times New Roman"/>
          <w:sz w:val="24"/>
          <w:szCs w:val="24"/>
        </w:rPr>
        <w:t xml:space="preserve">В целях совершенствования системы управления рисками и внутреннего контроля страховых организаций Агентством в отчетном периоде принято постановление Правления Агентства от 22.12.2020г. № 126, предусматривающее внедрение системы самостоятельной оценки рисков страховых организаций на основе международной регуляторной системы </w:t>
      </w:r>
      <w:proofErr w:type="spellStart"/>
      <w:r w:rsidRPr="000B227F">
        <w:rPr>
          <w:rFonts w:ascii="Times New Roman" w:eastAsia="Calibri" w:hAnsi="Times New Roman" w:cs="Times New Roman"/>
          <w:sz w:val="24"/>
          <w:szCs w:val="24"/>
        </w:rPr>
        <w:t>Insurance</w:t>
      </w:r>
      <w:proofErr w:type="spellEnd"/>
      <w:r w:rsidRPr="000B227F">
        <w:rPr>
          <w:rFonts w:ascii="Times New Roman" w:eastAsia="Calibri" w:hAnsi="Times New Roman" w:cs="Times New Roman"/>
          <w:sz w:val="24"/>
          <w:szCs w:val="24"/>
        </w:rPr>
        <w:t xml:space="preserve"> </w:t>
      </w:r>
      <w:proofErr w:type="spellStart"/>
      <w:r w:rsidRPr="000B227F">
        <w:rPr>
          <w:rFonts w:ascii="Times New Roman" w:eastAsia="Calibri" w:hAnsi="Times New Roman" w:cs="Times New Roman"/>
          <w:sz w:val="24"/>
          <w:szCs w:val="24"/>
        </w:rPr>
        <w:t>Regulatory</w:t>
      </w:r>
      <w:proofErr w:type="spellEnd"/>
      <w:r w:rsidRPr="000B227F">
        <w:rPr>
          <w:rFonts w:ascii="Times New Roman" w:eastAsia="Calibri" w:hAnsi="Times New Roman" w:cs="Times New Roman"/>
          <w:sz w:val="24"/>
          <w:szCs w:val="24"/>
        </w:rPr>
        <w:t xml:space="preserve"> </w:t>
      </w:r>
      <w:proofErr w:type="spellStart"/>
      <w:r w:rsidRPr="000B227F">
        <w:rPr>
          <w:rFonts w:ascii="Times New Roman" w:eastAsia="Calibri" w:hAnsi="Times New Roman" w:cs="Times New Roman"/>
          <w:sz w:val="24"/>
          <w:szCs w:val="24"/>
        </w:rPr>
        <w:t>Information</w:t>
      </w:r>
      <w:proofErr w:type="spellEnd"/>
      <w:r w:rsidRPr="000B227F">
        <w:rPr>
          <w:rFonts w:ascii="Times New Roman" w:eastAsia="Calibri" w:hAnsi="Times New Roman" w:cs="Times New Roman"/>
          <w:sz w:val="24"/>
          <w:szCs w:val="24"/>
        </w:rPr>
        <w:t xml:space="preserve"> </w:t>
      </w:r>
      <w:proofErr w:type="spellStart"/>
      <w:r w:rsidRPr="000B227F">
        <w:rPr>
          <w:rFonts w:ascii="Times New Roman" w:eastAsia="Calibri" w:hAnsi="Times New Roman" w:cs="Times New Roman"/>
          <w:sz w:val="24"/>
          <w:szCs w:val="24"/>
        </w:rPr>
        <w:t>System</w:t>
      </w:r>
      <w:proofErr w:type="spellEnd"/>
      <w:r w:rsidRPr="000B227F">
        <w:rPr>
          <w:rFonts w:ascii="Times New Roman" w:eastAsia="Calibri" w:hAnsi="Times New Roman" w:cs="Times New Roman"/>
          <w:sz w:val="24"/>
          <w:szCs w:val="24"/>
        </w:rPr>
        <w:t>. Внедренная система оценки рисков позволит страховым организациям самостоятельно выявлять риски в деятельности, своевременно принимать меры по улучшению финансового состояния компании и повысить уровень осведомленности и ответственности высшего менеджмента за результаты их деятельности.</w:t>
      </w:r>
    </w:p>
    <w:p w14:paraId="2C33568D"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i/>
          <w:sz w:val="24"/>
          <w:szCs w:val="24"/>
        </w:rPr>
      </w:pPr>
      <w:r w:rsidRPr="000B227F">
        <w:rPr>
          <w:rFonts w:ascii="Times New Roman" w:hAnsi="Times New Roman" w:cs="Times New Roman"/>
          <w:i/>
          <w:sz w:val="24"/>
          <w:szCs w:val="24"/>
        </w:rPr>
        <w:t xml:space="preserve">Профессиональные участники рынка ценных бумаг </w:t>
      </w:r>
    </w:p>
    <w:p w14:paraId="488C3684" w14:textId="77777777" w:rsidR="001516F0" w:rsidRPr="000B227F" w:rsidRDefault="001516F0" w:rsidP="001516F0">
      <w:pPr>
        <w:tabs>
          <w:tab w:val="left" w:pos="34"/>
          <w:tab w:val="left" w:pos="346"/>
        </w:tabs>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 xml:space="preserve">В 2020 году профессиональные участники рынка ценных бумаг на основании анализа внутренних документов были ранжированы по различным уровням риск-профиля по Методике </w:t>
      </w:r>
      <w:proofErr w:type="spellStart"/>
      <w:r w:rsidRPr="000B227F">
        <w:rPr>
          <w:rFonts w:ascii="Times New Roman" w:hAnsi="Times New Roman" w:cs="Times New Roman"/>
          <w:sz w:val="24"/>
          <w:szCs w:val="24"/>
        </w:rPr>
        <w:t>Risk</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Assessment</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and</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Supervision</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System</w:t>
      </w:r>
      <w:proofErr w:type="spellEnd"/>
      <w:r w:rsidRPr="000B227F">
        <w:rPr>
          <w:rFonts w:ascii="Times New Roman" w:hAnsi="Times New Roman" w:cs="Times New Roman"/>
          <w:sz w:val="24"/>
          <w:szCs w:val="24"/>
        </w:rPr>
        <w:t xml:space="preserve"> (RASS) с целью осуществления надзора различного уровня интенсивности.</w:t>
      </w:r>
    </w:p>
    <w:p w14:paraId="461430E2"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p>
    <w:p w14:paraId="0FA41A28"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Сохранение низкой диверсификации ссудных портфелей банков</w:t>
      </w:r>
    </w:p>
    <w:p w14:paraId="258C3205"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Разработка регуляторных стимулов и устранение барьеров для развития рынка корпоративного кредитования</w:t>
      </w:r>
    </w:p>
    <w:p w14:paraId="0E67BA38"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3C5FA600" w14:textId="77777777" w:rsidR="001516F0" w:rsidRPr="000B227F" w:rsidRDefault="001516F0" w:rsidP="001516F0">
      <w:pPr>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В целях обеспечения стабильности банковского сектора и расширения его потенциала по предоставлению ресурсов субъектам бизнеса в условиях введенного чрезвычайного положения и карантинных ограничений Агентством в 2020 году реализованы следующие меры.</w:t>
      </w:r>
    </w:p>
    <w:p w14:paraId="3C70158F"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1. Приняты меры по отсрочке платежей по кредитам в целях поддержки заемщиков-субъектов малого и среднего бизнеса из пострадавших в результате введения чрезвычайного положения отраслей экономики.                                      </w:t>
      </w:r>
    </w:p>
    <w:p w14:paraId="32F7D455"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В период чрезвычайного положения в целях оказания поддержки субъектам МСБ из отраслей, пострадавших в результате введения чрезвычайного положения, согласно приказу Председателя Агентства от 26.03.2020г. № 167</w:t>
      </w:r>
      <w:r w:rsidRPr="000B227F">
        <w:rPr>
          <w:rFonts w:ascii="Times New Roman" w:eastAsia="Times New Roman" w:hAnsi="Times New Roman" w:cs="Times New Roman"/>
          <w:sz w:val="24"/>
          <w:szCs w:val="24"/>
          <w:vertAlign w:val="superscript"/>
          <w:lang w:eastAsia="ru-RU"/>
        </w:rPr>
        <w:footnoteReference w:id="4"/>
      </w:r>
      <w:r w:rsidRPr="000B227F">
        <w:rPr>
          <w:rFonts w:ascii="Times New Roman" w:eastAsia="Times New Roman" w:hAnsi="Times New Roman" w:cs="Times New Roman"/>
          <w:sz w:val="24"/>
          <w:szCs w:val="24"/>
          <w:lang w:eastAsia="ru-RU"/>
        </w:rPr>
        <w:t xml:space="preserve"> кредитными организациями предоставлена отсрочка платежей по кредитам на срок с 16 марта по 15 июня 2020 года. </w:t>
      </w:r>
    </w:p>
    <w:p w14:paraId="6899A25C"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Дополнительно в связи с продлением ограничительных карантинных мер приказом Председателя Агентства от 15.06.2020 года № 251</w:t>
      </w:r>
      <w:r w:rsidRPr="000B227F">
        <w:rPr>
          <w:rFonts w:ascii="Times New Roman" w:eastAsia="Times New Roman" w:hAnsi="Times New Roman" w:cs="Times New Roman"/>
          <w:sz w:val="24"/>
          <w:szCs w:val="24"/>
          <w:vertAlign w:val="superscript"/>
          <w:lang w:eastAsia="ru-RU"/>
        </w:rPr>
        <w:footnoteReference w:id="5"/>
      </w:r>
      <w:r w:rsidRPr="000B227F">
        <w:rPr>
          <w:rFonts w:ascii="Times New Roman" w:eastAsia="Times New Roman" w:hAnsi="Times New Roman" w:cs="Times New Roman"/>
          <w:sz w:val="24"/>
          <w:szCs w:val="24"/>
          <w:lang w:eastAsia="ru-RU"/>
        </w:rPr>
        <w:t xml:space="preserve"> были  утверждены дополнительные меры поддержки субъектов МСБ, пострадавших от введения карантинных ограничений, </w:t>
      </w:r>
      <w:r w:rsidRPr="000B227F">
        <w:rPr>
          <w:rFonts w:ascii="Times New Roman" w:eastAsia="Times New Roman" w:hAnsi="Times New Roman" w:cs="Times New Roman"/>
          <w:sz w:val="24"/>
          <w:szCs w:val="24"/>
          <w:lang w:eastAsia="ru-RU"/>
        </w:rPr>
        <w:br/>
        <w:t xml:space="preserve">а именно, введен упрощенный порядок предоставления отсрочки платежей по кредитам </w:t>
      </w:r>
      <w:r w:rsidRPr="000B227F">
        <w:rPr>
          <w:rFonts w:ascii="Times New Roman" w:eastAsia="Times New Roman" w:hAnsi="Times New Roman" w:cs="Times New Roman"/>
          <w:sz w:val="24"/>
          <w:szCs w:val="24"/>
          <w:lang w:eastAsia="ru-RU"/>
        </w:rPr>
        <w:br/>
        <w:t xml:space="preserve">с 15 июня по 1 октября 2020 года, а также предоставлена возможность рефинансирования действующих кредитов по льготным условиям в рамках государственных программ. </w:t>
      </w:r>
    </w:p>
    <w:p w14:paraId="68F68952"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Данные меры позволили субъектам МСБ вернуться к погашению займов после восстановления своего финансового состояния и не допустить случаи возникновения просроченной задолженности по договорам банковского займа и </w:t>
      </w:r>
      <w:proofErr w:type="spellStart"/>
      <w:r w:rsidRPr="000B227F">
        <w:rPr>
          <w:rFonts w:ascii="Times New Roman" w:eastAsia="Times New Roman" w:hAnsi="Times New Roman" w:cs="Times New Roman"/>
          <w:sz w:val="24"/>
          <w:szCs w:val="24"/>
          <w:lang w:eastAsia="ru-RU"/>
        </w:rPr>
        <w:t>микрокредита</w:t>
      </w:r>
      <w:proofErr w:type="spellEnd"/>
      <w:r w:rsidRPr="000B227F">
        <w:rPr>
          <w:rFonts w:ascii="Times New Roman" w:eastAsia="Times New Roman" w:hAnsi="Times New Roman" w:cs="Times New Roman"/>
          <w:sz w:val="24"/>
          <w:szCs w:val="24"/>
          <w:lang w:eastAsia="ru-RU"/>
        </w:rPr>
        <w:t>.</w:t>
      </w:r>
    </w:p>
    <w:p w14:paraId="54FF1030"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lastRenderedPageBreak/>
        <w:t xml:space="preserve"> 2. Были приняты временные </w:t>
      </w:r>
      <w:proofErr w:type="spellStart"/>
      <w:r w:rsidRPr="000B227F">
        <w:rPr>
          <w:rFonts w:ascii="Times New Roman" w:eastAsia="Times New Roman" w:hAnsi="Times New Roman" w:cs="Times New Roman"/>
          <w:sz w:val="24"/>
          <w:szCs w:val="24"/>
          <w:lang w:eastAsia="ru-RU"/>
        </w:rPr>
        <w:t>пруденциальные</w:t>
      </w:r>
      <w:proofErr w:type="spellEnd"/>
      <w:r w:rsidRPr="000B227F">
        <w:rPr>
          <w:rFonts w:ascii="Times New Roman" w:eastAsia="Times New Roman" w:hAnsi="Times New Roman" w:cs="Times New Roman"/>
          <w:sz w:val="24"/>
          <w:szCs w:val="24"/>
          <w:lang w:eastAsia="ru-RU"/>
        </w:rPr>
        <w:t xml:space="preserve"> меры по банкам </w:t>
      </w:r>
    </w:p>
    <w:p w14:paraId="581CF5E0"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1) Правлением Агентства принято постановление от 22 марта 2020 года № 19</w:t>
      </w:r>
      <w:r w:rsidRPr="000B227F">
        <w:rPr>
          <w:rFonts w:ascii="Times New Roman" w:eastAsia="Calibri" w:hAnsi="Times New Roman" w:cs="Times New Roman"/>
          <w:sz w:val="24"/>
          <w:szCs w:val="24"/>
          <w:vertAlign w:val="superscript"/>
          <w:lang w:eastAsia="ru-RU"/>
        </w:rPr>
        <w:footnoteReference w:id="6"/>
      </w:r>
      <w:r w:rsidRPr="000B227F">
        <w:rPr>
          <w:rFonts w:ascii="Times New Roman" w:eastAsia="Calibri" w:hAnsi="Times New Roman" w:cs="Times New Roman"/>
          <w:sz w:val="24"/>
          <w:szCs w:val="24"/>
          <w:lang w:eastAsia="ru-RU"/>
        </w:rPr>
        <w:t>, которое предусматривает ослабление требований к расчету капитала и ликвидности через:</w:t>
      </w:r>
    </w:p>
    <w:p w14:paraId="6A11768D"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снижение коэффициентов риск-взвешивания по займам, выданным субъектам МСБ и синдицированным займам;</w:t>
      </w:r>
    </w:p>
    <w:p w14:paraId="3AFDF9CE"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расширение перечня твердых залогов;</w:t>
      </w:r>
    </w:p>
    <w:p w14:paraId="3C6533F8"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расширение состава высоколиквидных активов при расчете нормативов ликвидности для банков.</w:t>
      </w:r>
    </w:p>
    <w:p w14:paraId="11878CA9"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2) Правлением Агентства от 18 июня 2020 года № 66</w:t>
      </w:r>
      <w:r w:rsidRPr="000B227F">
        <w:rPr>
          <w:rFonts w:ascii="Times New Roman" w:eastAsia="Calibri" w:hAnsi="Times New Roman" w:cs="Times New Roman"/>
          <w:sz w:val="24"/>
          <w:szCs w:val="24"/>
          <w:vertAlign w:val="superscript"/>
          <w:lang w:eastAsia="ru-RU"/>
        </w:rPr>
        <w:footnoteReference w:id="7"/>
      </w:r>
      <w:r w:rsidRPr="000B227F">
        <w:rPr>
          <w:rFonts w:ascii="Times New Roman" w:eastAsia="Calibri" w:hAnsi="Times New Roman" w:cs="Times New Roman"/>
          <w:sz w:val="24"/>
          <w:szCs w:val="24"/>
          <w:lang w:eastAsia="ru-RU"/>
        </w:rPr>
        <w:t xml:space="preserve"> приняты поправки, которые предусматривают ослабление требований к расчету капитала и ликвидности:</w:t>
      </w:r>
    </w:p>
    <w:p w14:paraId="182BE186"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xml:space="preserve">- снижение консервационного буфера на 1 </w:t>
      </w:r>
      <w:proofErr w:type="spellStart"/>
      <w:r w:rsidRPr="000B227F">
        <w:rPr>
          <w:rFonts w:ascii="Times New Roman" w:eastAsia="Calibri" w:hAnsi="Times New Roman" w:cs="Times New Roman"/>
          <w:sz w:val="24"/>
          <w:szCs w:val="24"/>
          <w:lang w:eastAsia="ru-RU"/>
        </w:rPr>
        <w:t>п.п</w:t>
      </w:r>
      <w:proofErr w:type="spellEnd"/>
      <w:r w:rsidRPr="000B227F">
        <w:rPr>
          <w:rFonts w:ascii="Times New Roman" w:eastAsia="Calibri" w:hAnsi="Times New Roman" w:cs="Times New Roman"/>
          <w:sz w:val="24"/>
          <w:szCs w:val="24"/>
          <w:lang w:eastAsia="ru-RU"/>
        </w:rPr>
        <w:t>. при расчете достаточности собственного капитала до 1 июня 2021 года;</w:t>
      </w:r>
    </w:p>
    <w:p w14:paraId="66779902"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снижение минимального значения по коэффициенту покрытия ликвидности (LCR) с 0,8 до 0,6 до 1 апреля 2021 года;</w:t>
      </w:r>
    </w:p>
    <w:p w14:paraId="1535DEEF"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перенос ужесточения расчета коэффициента доступного стабильного фондирования (NSFR) на 1 июля 2021 года;</w:t>
      </w:r>
    </w:p>
    <w:p w14:paraId="4EB63E4E" w14:textId="77777777" w:rsidR="001516F0" w:rsidRPr="000B227F" w:rsidRDefault="001516F0" w:rsidP="001516F0">
      <w:pPr>
        <w:tabs>
          <w:tab w:val="left" w:pos="526"/>
          <w:tab w:val="left" w:pos="676"/>
          <w:tab w:val="left" w:pos="1134"/>
        </w:tabs>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исключение реструктуризации из критериев обесценения займов заемщиков, испытывающих временные финансовые затруднения.</w:t>
      </w:r>
    </w:p>
    <w:p w14:paraId="40811B1D" w14:textId="77777777" w:rsidR="001516F0" w:rsidRPr="000B227F" w:rsidRDefault="001516F0" w:rsidP="001516F0">
      <w:pPr>
        <w:widowControl w:val="0"/>
        <w:tabs>
          <w:tab w:val="left" w:pos="0"/>
        </w:tabs>
        <w:spacing w:after="0" w:line="240" w:lineRule="auto"/>
        <w:ind w:firstLine="709"/>
        <w:contextualSpacing/>
        <w:jc w:val="both"/>
        <w:rPr>
          <w:rFonts w:ascii="Times New Roman" w:hAnsi="Times New Roman" w:cs="Times New Roman"/>
          <w:bCs/>
          <w:sz w:val="24"/>
          <w:szCs w:val="24"/>
          <w:lang w:eastAsia="x-none"/>
        </w:rPr>
      </w:pPr>
      <w:r w:rsidRPr="000B227F">
        <w:rPr>
          <w:rFonts w:ascii="Times New Roman" w:eastAsia="Calibri" w:hAnsi="Times New Roman" w:cs="Times New Roman"/>
          <w:sz w:val="24"/>
          <w:szCs w:val="24"/>
          <w:lang w:eastAsia="ru-RU"/>
        </w:rPr>
        <w:t>3) Постановлением Правления Агентства от 30.10.2020г. № 106</w:t>
      </w:r>
      <w:r w:rsidRPr="000B227F">
        <w:rPr>
          <w:rFonts w:ascii="Times New Roman" w:eastAsia="Calibri" w:hAnsi="Times New Roman" w:cs="Times New Roman"/>
          <w:sz w:val="24"/>
          <w:szCs w:val="24"/>
          <w:vertAlign w:val="superscript"/>
          <w:lang w:eastAsia="ru-RU"/>
        </w:rPr>
        <w:footnoteReference w:id="8"/>
      </w:r>
      <w:r w:rsidRPr="000B227F">
        <w:rPr>
          <w:rFonts w:ascii="Times New Roman" w:eastAsia="Calibri" w:hAnsi="Times New Roman" w:cs="Times New Roman"/>
          <w:sz w:val="24"/>
          <w:szCs w:val="24"/>
          <w:lang w:eastAsia="ru-RU"/>
        </w:rPr>
        <w:t xml:space="preserve"> ряд мер продлен до 01.07.2021г. в целях обеспечения стабильности банковского сектора и поддержания его способности предоставлять кредиты реальному сектору экономики в условиях замедления деловой активности в период пандемии.</w:t>
      </w:r>
      <w:r w:rsidRPr="000B227F">
        <w:rPr>
          <w:rFonts w:ascii="Times New Roman" w:hAnsi="Times New Roman" w:cs="Times New Roman"/>
          <w:bCs/>
          <w:sz w:val="24"/>
          <w:szCs w:val="24"/>
          <w:lang w:eastAsia="x-none"/>
        </w:rPr>
        <w:t xml:space="preserve"> </w:t>
      </w:r>
    </w:p>
    <w:p w14:paraId="33FA0D24"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xml:space="preserve">3. В 2020 году Агентством разработаны и </w:t>
      </w:r>
      <w:r w:rsidRPr="000B227F">
        <w:rPr>
          <w:rFonts w:ascii="Times New Roman" w:eastAsia="Times New Roman" w:hAnsi="Times New Roman" w:cs="Times New Roman"/>
          <w:sz w:val="24"/>
          <w:szCs w:val="24"/>
          <w:lang w:eastAsia="ru-RU"/>
        </w:rPr>
        <w:t xml:space="preserve">Законом по вопросам восстановления экономического роста приняты </w:t>
      </w:r>
      <w:r w:rsidRPr="000B227F">
        <w:rPr>
          <w:rFonts w:ascii="Times New Roman" w:eastAsia="Calibri" w:hAnsi="Times New Roman" w:cs="Times New Roman"/>
          <w:sz w:val="24"/>
          <w:szCs w:val="24"/>
          <w:lang w:eastAsia="ru-RU"/>
        </w:rPr>
        <w:t>законодательные поправки, направленные на создание необходимых условий для развития синдицированного кредитования. Синдицированное кредитование активно применяется в международной практике, как инструмент финансирования исключительно крупных проектов.</w:t>
      </w:r>
    </w:p>
    <w:p w14:paraId="1AD6DD3F"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B227F">
        <w:rPr>
          <w:rFonts w:ascii="Times New Roman" w:eastAsia="Times New Roman" w:hAnsi="Times New Roman" w:cs="Times New Roman"/>
          <w:bCs/>
          <w:sz w:val="24"/>
          <w:szCs w:val="24"/>
          <w:lang w:eastAsia="ru-RU"/>
        </w:rPr>
        <w:t xml:space="preserve">4. Для развития и стимулирования факторинга Агентством в отчетном периоде разработаны поправки в статью 250 Налогового кодекса Республики Казахстан в части возможности отнесения банком на вычет суммы расходов по провизиям, сформированным по факторингу. Эти нормы позволят устранить имеющийся налоговый дисбаланс между кредитованием и факторингом, снизить стоимость факторинга для предпринимателей. </w:t>
      </w:r>
      <w:r w:rsidRPr="000B227F">
        <w:rPr>
          <w:rFonts w:ascii="Times New Roman" w:eastAsia="Times New Roman" w:hAnsi="Times New Roman" w:cs="Times New Roman"/>
          <w:color w:val="000000"/>
          <w:sz w:val="24"/>
          <w:szCs w:val="24"/>
          <w:lang w:eastAsia="ru-RU"/>
        </w:rPr>
        <w:t xml:space="preserve">Указанные </w:t>
      </w:r>
      <w:r w:rsidRPr="000B227F">
        <w:rPr>
          <w:rFonts w:ascii="Times New Roman" w:eastAsia="Times New Roman" w:hAnsi="Times New Roman" w:cs="Times New Roman"/>
          <w:bCs/>
          <w:sz w:val="24"/>
          <w:szCs w:val="24"/>
          <w:lang w:eastAsia="ru-RU"/>
        </w:rPr>
        <w:t>поправки приняты Законом по вопросам налогообложения</w:t>
      </w:r>
      <w:r w:rsidRPr="000B227F">
        <w:rPr>
          <w:rFonts w:ascii="Times New Roman" w:eastAsia="Times New Roman" w:hAnsi="Times New Roman" w:cs="Times New Roman"/>
          <w:sz w:val="24"/>
          <w:szCs w:val="24"/>
          <w:vertAlign w:val="superscript"/>
          <w:lang w:eastAsia="ru-RU"/>
        </w:rPr>
        <w:footnoteReference w:id="9"/>
      </w:r>
      <w:r w:rsidRPr="000B227F">
        <w:rPr>
          <w:rFonts w:ascii="Times New Roman" w:eastAsia="Times New Roman" w:hAnsi="Times New Roman" w:cs="Times New Roman"/>
          <w:bCs/>
          <w:sz w:val="24"/>
          <w:szCs w:val="24"/>
          <w:lang w:eastAsia="ru-RU"/>
        </w:rPr>
        <w:t>.</w:t>
      </w:r>
    </w:p>
    <w:p w14:paraId="3FF27215"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B227F">
        <w:rPr>
          <w:rFonts w:ascii="Times New Roman" w:eastAsia="Times New Roman" w:hAnsi="Times New Roman" w:cs="Times New Roman"/>
          <w:bCs/>
          <w:sz w:val="24"/>
          <w:szCs w:val="24"/>
          <w:lang w:eastAsia="ru-RU"/>
        </w:rPr>
        <w:t xml:space="preserve">5. В целях оказания прямой поддержки субъектам предпринимательства в период чрезвычайного положения и карантинных мер в 2020 году Агентством совместно с Правительством и Национальным Банком Республики Казахстан (далее – </w:t>
      </w:r>
      <w:proofErr w:type="gramStart"/>
      <w:r w:rsidRPr="000B227F">
        <w:rPr>
          <w:rFonts w:ascii="Times New Roman" w:eastAsia="Times New Roman" w:hAnsi="Times New Roman" w:cs="Times New Roman"/>
          <w:bCs/>
          <w:sz w:val="24"/>
          <w:szCs w:val="24"/>
          <w:lang w:eastAsia="ru-RU"/>
        </w:rPr>
        <w:t>НБРК)  в</w:t>
      </w:r>
      <w:proofErr w:type="gramEnd"/>
      <w:r w:rsidRPr="000B227F">
        <w:rPr>
          <w:rFonts w:ascii="Times New Roman" w:eastAsia="Times New Roman" w:hAnsi="Times New Roman" w:cs="Times New Roman"/>
          <w:bCs/>
          <w:sz w:val="24"/>
          <w:szCs w:val="24"/>
          <w:lang w:eastAsia="ru-RU"/>
        </w:rPr>
        <w:t xml:space="preserve"> соответствии с поручениями Главы государства реализован комплекс мер финансовой поддержки в виде льготного кредитования.</w:t>
      </w:r>
    </w:p>
    <w:p w14:paraId="530F724F"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B227F">
        <w:rPr>
          <w:rFonts w:ascii="Times New Roman" w:eastAsia="Times New Roman" w:hAnsi="Times New Roman" w:cs="Times New Roman"/>
          <w:bCs/>
          <w:sz w:val="24"/>
          <w:szCs w:val="24"/>
          <w:lang w:eastAsia="ru-RU"/>
        </w:rPr>
        <w:t>В 2020 году разработана Программа льготного кредитования</w:t>
      </w:r>
      <w:r w:rsidRPr="000B227F">
        <w:rPr>
          <w:rFonts w:ascii="Times New Roman" w:eastAsia="Times New Roman" w:hAnsi="Times New Roman" w:cs="Times New Roman"/>
          <w:bCs/>
          <w:sz w:val="24"/>
          <w:szCs w:val="24"/>
          <w:vertAlign w:val="superscript"/>
          <w:lang w:eastAsia="ru-RU"/>
        </w:rPr>
        <w:footnoteReference w:id="10"/>
      </w:r>
      <w:r w:rsidRPr="000B227F">
        <w:rPr>
          <w:rFonts w:ascii="Times New Roman" w:eastAsia="Times New Roman" w:hAnsi="Times New Roman" w:cs="Times New Roman"/>
          <w:bCs/>
          <w:sz w:val="24"/>
          <w:szCs w:val="24"/>
          <w:lang w:eastAsia="ru-RU"/>
        </w:rPr>
        <w:t xml:space="preserve">, предусматривающая предоставление финансирования субъектам малого и среднего бизнеса, пострадавшим от введения чрезвычайного положения, на пополнение оборотных средств на срок не более </w:t>
      </w:r>
      <w:r w:rsidRPr="000B227F">
        <w:rPr>
          <w:rFonts w:ascii="Times New Roman" w:eastAsia="Times New Roman" w:hAnsi="Times New Roman" w:cs="Times New Roman"/>
          <w:bCs/>
          <w:sz w:val="24"/>
          <w:szCs w:val="24"/>
          <w:lang w:eastAsia="ru-RU"/>
        </w:rPr>
        <w:br/>
        <w:t>12 месяцев по конечной ставке до 8%. По поручению Главы государства в 2020 году ее объем был увеличен до 800 млрд. тенге и продлен срок действия до конца 2021 года.</w:t>
      </w:r>
    </w:p>
    <w:p w14:paraId="12A12302" w14:textId="77777777" w:rsidR="001516F0" w:rsidRPr="000B227F" w:rsidRDefault="001516F0" w:rsidP="001516F0">
      <w:pPr>
        <w:widowControl w:val="0"/>
        <w:tabs>
          <w:tab w:val="left" w:pos="0"/>
        </w:tabs>
        <w:spacing w:after="0" w:line="240" w:lineRule="auto"/>
        <w:ind w:firstLine="709"/>
        <w:contextualSpacing/>
        <w:jc w:val="both"/>
        <w:rPr>
          <w:rFonts w:ascii="Times New Roman" w:hAnsi="Times New Roman" w:cs="Times New Roman"/>
          <w:sz w:val="24"/>
          <w:szCs w:val="24"/>
        </w:rPr>
      </w:pPr>
      <w:r w:rsidRPr="000B227F">
        <w:rPr>
          <w:rFonts w:ascii="Times New Roman" w:eastAsia="Times New Roman" w:hAnsi="Times New Roman" w:cs="Times New Roman"/>
          <w:bCs/>
          <w:sz w:val="24"/>
          <w:szCs w:val="24"/>
          <w:lang w:eastAsia="ru-RU"/>
        </w:rPr>
        <w:t xml:space="preserve">Для снижения суммы платежей по кредитам субъектов малого и среднего бизнеса </w:t>
      </w:r>
      <w:r w:rsidRPr="000B227F">
        <w:rPr>
          <w:rFonts w:ascii="Times New Roman" w:eastAsia="Times New Roman" w:hAnsi="Times New Roman" w:cs="Times New Roman"/>
          <w:bCs/>
          <w:sz w:val="24"/>
          <w:szCs w:val="24"/>
          <w:lang w:eastAsia="ru-RU"/>
        </w:rPr>
        <w:lastRenderedPageBreak/>
        <w:t>дополнительно по поручению Главы государства реализован механизм субсидирования процентных ставок до 6% годовых</w:t>
      </w:r>
      <w:r w:rsidRPr="000B227F">
        <w:rPr>
          <w:rFonts w:ascii="Times New Roman" w:eastAsia="Times New Roman" w:hAnsi="Times New Roman" w:cs="Times New Roman"/>
          <w:bCs/>
          <w:sz w:val="24"/>
          <w:szCs w:val="24"/>
          <w:vertAlign w:val="superscript"/>
          <w:lang w:eastAsia="ru-RU"/>
        </w:rPr>
        <w:footnoteReference w:id="11"/>
      </w:r>
      <w:r w:rsidRPr="000B227F">
        <w:rPr>
          <w:rFonts w:ascii="Times New Roman" w:eastAsia="Times New Roman" w:hAnsi="Times New Roman" w:cs="Times New Roman"/>
          <w:bCs/>
          <w:sz w:val="24"/>
          <w:szCs w:val="24"/>
          <w:lang w:eastAsia="ru-RU"/>
        </w:rPr>
        <w:t xml:space="preserve"> по всем кредитам МСБ в пострадавших секторах экономики.</w:t>
      </w:r>
    </w:p>
    <w:p w14:paraId="4AC8C331" w14:textId="77777777" w:rsidR="001516F0" w:rsidRPr="000B227F" w:rsidRDefault="001516F0" w:rsidP="001516F0">
      <w:pPr>
        <w:spacing w:after="0" w:line="240" w:lineRule="auto"/>
        <w:ind w:firstLine="709"/>
        <w:contextualSpacing/>
        <w:jc w:val="both"/>
        <w:rPr>
          <w:rFonts w:ascii="Times New Roman" w:hAnsi="Times New Roman" w:cs="Times New Roman"/>
          <w:b/>
          <w:sz w:val="24"/>
          <w:szCs w:val="24"/>
        </w:rPr>
      </w:pPr>
    </w:p>
    <w:p w14:paraId="12F502E0"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2.</w:t>
      </w:r>
    </w:p>
    <w:p w14:paraId="5C7BF735"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 xml:space="preserve">Повышение эффективности финансового сектора </w:t>
      </w:r>
    </w:p>
    <w:p w14:paraId="1AC79010"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для финансирования экономики</w:t>
      </w:r>
    </w:p>
    <w:p w14:paraId="74EE6730"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p>
    <w:p w14:paraId="78F9912C" w14:textId="77777777" w:rsidR="001516F0" w:rsidRPr="000B227F" w:rsidRDefault="001516F0" w:rsidP="001516F0">
      <w:pPr>
        <w:spacing w:after="0" w:line="240" w:lineRule="auto"/>
        <w:ind w:firstLine="709"/>
        <w:contextualSpacing/>
        <w:jc w:val="both"/>
        <w:rPr>
          <w:rFonts w:ascii="Times New Roman" w:hAnsi="Times New Roman" w:cs="Times New Roman"/>
          <w:b/>
          <w:sz w:val="24"/>
          <w:szCs w:val="24"/>
        </w:rPr>
      </w:pPr>
      <w:r w:rsidRPr="000B227F">
        <w:rPr>
          <w:rFonts w:ascii="Times New Roman" w:hAnsi="Times New Roman" w:cs="Times New Roman"/>
          <w:b/>
          <w:i/>
          <w:sz w:val="24"/>
          <w:szCs w:val="24"/>
        </w:rPr>
        <w:t>Цель 2. Повышение кредитования реального сектора экономики</w:t>
      </w:r>
    </w:p>
    <w:p w14:paraId="19434530"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Повышение рисков в экономике в результате реализации негативных сценариев</w:t>
      </w:r>
    </w:p>
    <w:p w14:paraId="44C2142F"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Стимулирование финансирования экономики частным финансовым сектором без участия государства путем применения механизмов по снижению рисков (государственные гарантии, страхование кредитного риска)</w:t>
      </w:r>
    </w:p>
    <w:p w14:paraId="648D2F6E"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17617F6E" w14:textId="77777777" w:rsidR="001516F0" w:rsidRPr="000B227F" w:rsidRDefault="001516F0" w:rsidP="001516F0">
      <w:pPr>
        <w:widowControl w:val="0"/>
        <w:tabs>
          <w:tab w:val="left" w:pos="0"/>
        </w:tabs>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Подробная информация указана в разделе «Разработка регуляторных стимулов и устранение барьеров для развития рынка корпоративного кредитования».</w:t>
      </w:r>
    </w:p>
    <w:p w14:paraId="12626B17"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p>
    <w:p w14:paraId="64B319CF"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Низкая осведомленность и отсутствие интереса к инструментам фондового рынка со стороны населения</w:t>
      </w:r>
    </w:p>
    <w:p w14:paraId="45F20CD7"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Активизация информационных и маркетинговых программ со стороны участников рынка и KASE</w:t>
      </w:r>
    </w:p>
    <w:p w14:paraId="71E36A7F"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3C797489" w14:textId="77777777" w:rsidR="001516F0" w:rsidRPr="000B227F" w:rsidRDefault="001516F0" w:rsidP="001516F0">
      <w:pPr>
        <w:tabs>
          <w:tab w:val="left" w:pos="34"/>
        </w:tabs>
        <w:spacing w:after="0"/>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В целях повышения интереса населения к инструментам фондового рынка KASE проводились выездные мероприятия и бизнес-форумы, в том числе в регионах Казахстана, а также обучающие семинары на тему «Основы фондового рынка» для собственников и руководителей компаний и магистрантов Назарбаев Университета.</w:t>
      </w:r>
    </w:p>
    <w:p w14:paraId="1A7882EA" w14:textId="77777777" w:rsidR="001516F0" w:rsidRPr="000B227F" w:rsidRDefault="001516F0" w:rsidP="001516F0">
      <w:pPr>
        <w:tabs>
          <w:tab w:val="left" w:pos="34"/>
        </w:tabs>
        <w:spacing w:after="0"/>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KASE реализует первую комплексную образовательную программу по фондовому рынку для студентов ВУЗов Казахстана и всех желающих «Торговля на KASE: от А до Я», позволяющую заинтересованным лицам получить практические навыки работы на фондовом рынке бесплатно.</w:t>
      </w:r>
    </w:p>
    <w:p w14:paraId="1C430800" w14:textId="77777777" w:rsidR="001516F0" w:rsidRPr="000B227F" w:rsidRDefault="001516F0" w:rsidP="001516F0">
      <w:pPr>
        <w:tabs>
          <w:tab w:val="left" w:pos="34"/>
        </w:tabs>
        <w:spacing w:after="0"/>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Совместно с обучающим проектом по повышению финансовой грамотности Fingramota.kz Агентства в партнерстве с ресурсом Factcheck.kz и Медиа-школой МЦЖ «</w:t>
      </w:r>
      <w:proofErr w:type="spellStart"/>
      <w:r w:rsidRPr="000B227F">
        <w:rPr>
          <w:rFonts w:ascii="Times New Roman" w:eastAsia="Times New Roman" w:hAnsi="Times New Roman" w:cs="Times New Roman"/>
          <w:sz w:val="24"/>
          <w:szCs w:val="24"/>
          <w:lang w:eastAsia="ru-RU"/>
        </w:rPr>
        <w:t>MediaNet</w:t>
      </w:r>
      <w:proofErr w:type="spellEnd"/>
      <w:r w:rsidRPr="000B227F">
        <w:rPr>
          <w:rFonts w:ascii="Times New Roman" w:eastAsia="Times New Roman" w:hAnsi="Times New Roman" w:cs="Times New Roman"/>
          <w:sz w:val="24"/>
          <w:szCs w:val="24"/>
          <w:lang w:eastAsia="ru-RU"/>
        </w:rPr>
        <w:t>» KASE проведен онлайн-семинар «Фондовый рынок: освещаем грамотно» для представителей средств массовой информации.</w:t>
      </w:r>
    </w:p>
    <w:p w14:paraId="5296BC4B" w14:textId="77777777" w:rsidR="001516F0" w:rsidRPr="000B227F" w:rsidRDefault="001516F0" w:rsidP="001516F0">
      <w:pPr>
        <w:tabs>
          <w:tab w:val="left" w:pos="34"/>
        </w:tabs>
        <w:spacing w:after="0"/>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На собственных </w:t>
      </w:r>
      <w:proofErr w:type="spellStart"/>
      <w:r w:rsidRPr="000B227F">
        <w:rPr>
          <w:rFonts w:ascii="Times New Roman" w:eastAsia="Times New Roman" w:hAnsi="Times New Roman" w:cs="Times New Roman"/>
          <w:sz w:val="24"/>
          <w:szCs w:val="24"/>
          <w:lang w:eastAsia="ru-RU"/>
        </w:rPr>
        <w:t>интернет-ресурсах</w:t>
      </w:r>
      <w:proofErr w:type="spellEnd"/>
      <w:r w:rsidRPr="000B227F">
        <w:rPr>
          <w:rFonts w:ascii="Times New Roman" w:eastAsia="Times New Roman" w:hAnsi="Times New Roman" w:cs="Times New Roman"/>
          <w:sz w:val="24"/>
          <w:szCs w:val="24"/>
          <w:lang w:eastAsia="ru-RU"/>
        </w:rPr>
        <w:t xml:space="preserve"> профессиональные участники ведут разделы, содержащие базовую информацию по вопросам функционирования фондового рынка и финансовым инструментам.</w:t>
      </w:r>
    </w:p>
    <w:p w14:paraId="7BC27058"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p>
    <w:p w14:paraId="6D5CDDC5"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Концентрация рисков на фондовой бирже как на организаторе торгов, так и организации, выполняющей функции центрального контрагента</w:t>
      </w:r>
    </w:p>
    <w:p w14:paraId="1EB4CDDF"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b/>
          <w:i/>
          <w:sz w:val="24"/>
          <w:szCs w:val="24"/>
          <w:lang w:eastAsia="ru-RU"/>
        </w:rPr>
      </w:pPr>
      <w:r w:rsidRPr="000B227F">
        <w:rPr>
          <w:rFonts w:ascii="Times New Roman" w:eastAsia="Times New Roman" w:hAnsi="Times New Roman" w:cs="Times New Roman"/>
          <w:b/>
          <w:i/>
          <w:sz w:val="24"/>
          <w:szCs w:val="24"/>
          <w:lang w:eastAsia="ru-RU"/>
        </w:rPr>
        <w:t>Выделение из фондовой биржи центрального контрагента на фондовом рынке в качестве самостоятельного юридического лица</w:t>
      </w:r>
    </w:p>
    <w:p w14:paraId="194AAEDE"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61233FBB"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В рамках данного вопроса проводились заседания рабочей группы, созданной на базе KASE при участии Агентства, НБРК и Центрального депозитария. </w:t>
      </w:r>
    </w:p>
    <w:p w14:paraId="1A4B0D36" w14:textId="5EE806B0" w:rsidR="00657A2A" w:rsidRDefault="001516F0" w:rsidP="000028AF">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Указом Президента Республики Казахстан от 26 декабря 2020 года № 478 «О внесении изменения в Указ Президента Республики Казахстан от 3 июля 2019 года № 51 «О введении моратория на создание субъектов </w:t>
      </w:r>
      <w:proofErr w:type="spellStart"/>
      <w:r w:rsidRPr="000B227F">
        <w:rPr>
          <w:rFonts w:ascii="Times New Roman" w:eastAsia="Times New Roman" w:hAnsi="Times New Roman" w:cs="Times New Roman"/>
          <w:sz w:val="24"/>
          <w:szCs w:val="24"/>
          <w:lang w:eastAsia="ru-RU"/>
        </w:rPr>
        <w:t>квазигосударственного</w:t>
      </w:r>
      <w:proofErr w:type="spellEnd"/>
      <w:r w:rsidRPr="000B227F">
        <w:rPr>
          <w:rFonts w:ascii="Times New Roman" w:eastAsia="Times New Roman" w:hAnsi="Times New Roman" w:cs="Times New Roman"/>
          <w:sz w:val="24"/>
          <w:szCs w:val="24"/>
          <w:lang w:eastAsia="ru-RU"/>
        </w:rPr>
        <w:t xml:space="preserve"> сектора» мораторий пр</w:t>
      </w:r>
      <w:r w:rsidR="00657A2A">
        <w:rPr>
          <w:rFonts w:ascii="Times New Roman" w:eastAsia="Times New Roman" w:hAnsi="Times New Roman" w:cs="Times New Roman"/>
          <w:sz w:val="24"/>
          <w:szCs w:val="24"/>
          <w:lang w:eastAsia="ru-RU"/>
        </w:rPr>
        <w:t xml:space="preserve">одлен </w:t>
      </w:r>
      <w:r w:rsidR="00657A2A">
        <w:rPr>
          <w:rFonts w:ascii="Times New Roman" w:eastAsia="Times New Roman" w:hAnsi="Times New Roman" w:cs="Times New Roman"/>
          <w:sz w:val="24"/>
          <w:szCs w:val="24"/>
          <w:lang w:eastAsia="ru-RU"/>
        </w:rPr>
        <w:br/>
        <w:t>до 31 декабря 2021 года.</w:t>
      </w:r>
    </w:p>
    <w:p w14:paraId="5804984E" w14:textId="7906F0A6" w:rsidR="001516F0" w:rsidRPr="000B227F" w:rsidRDefault="001516F0" w:rsidP="000028AF">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lastRenderedPageBreak/>
        <w:t>Работа по выделению из фондовой биржи центрального контрагента в качестве самостоятельного юридического лица будет продолжена.</w:t>
      </w:r>
    </w:p>
    <w:p w14:paraId="4353C1E0" w14:textId="77777777" w:rsidR="001516F0" w:rsidRPr="000B227F" w:rsidRDefault="001516F0" w:rsidP="001516F0">
      <w:pPr>
        <w:spacing w:after="0" w:line="240" w:lineRule="auto"/>
        <w:ind w:firstLine="709"/>
        <w:contextualSpacing/>
        <w:jc w:val="both"/>
        <w:rPr>
          <w:rFonts w:ascii="Times New Roman" w:hAnsi="Times New Roman" w:cs="Times New Roman"/>
          <w:b/>
          <w:sz w:val="24"/>
          <w:szCs w:val="24"/>
          <w:u w:val="single"/>
        </w:rPr>
      </w:pPr>
    </w:p>
    <w:p w14:paraId="7F418A89" w14:textId="77777777" w:rsidR="001516F0" w:rsidRPr="000B227F" w:rsidRDefault="001516F0" w:rsidP="001516F0">
      <w:pPr>
        <w:spacing w:after="0" w:line="240" w:lineRule="auto"/>
        <w:contextualSpacing/>
        <w:jc w:val="center"/>
        <w:rPr>
          <w:rFonts w:ascii="Times New Roman" w:hAnsi="Times New Roman" w:cs="Times New Roman"/>
          <w:b/>
          <w:sz w:val="24"/>
          <w:szCs w:val="24"/>
          <w:u w:val="single"/>
        </w:rPr>
      </w:pPr>
      <w:r w:rsidRPr="000B227F">
        <w:rPr>
          <w:rFonts w:ascii="Times New Roman" w:hAnsi="Times New Roman" w:cs="Times New Roman"/>
          <w:b/>
          <w:sz w:val="24"/>
          <w:szCs w:val="24"/>
          <w:u w:val="single"/>
        </w:rPr>
        <w:t>Стратегическое направление 3.</w:t>
      </w:r>
    </w:p>
    <w:p w14:paraId="106C93A5" w14:textId="77777777" w:rsidR="001516F0" w:rsidRPr="000B227F" w:rsidRDefault="001516F0" w:rsidP="001516F0">
      <w:pPr>
        <w:spacing w:after="0" w:line="240" w:lineRule="auto"/>
        <w:contextualSpacing/>
        <w:jc w:val="center"/>
        <w:rPr>
          <w:rFonts w:ascii="Times New Roman" w:hAnsi="Times New Roman" w:cs="Times New Roman"/>
          <w:b/>
          <w:sz w:val="24"/>
          <w:szCs w:val="24"/>
          <w:u w:val="single"/>
        </w:rPr>
      </w:pPr>
      <w:r w:rsidRPr="000B227F">
        <w:rPr>
          <w:rFonts w:ascii="Times New Roman" w:hAnsi="Times New Roman" w:cs="Times New Roman"/>
          <w:b/>
          <w:sz w:val="24"/>
          <w:szCs w:val="24"/>
          <w:u w:val="single"/>
        </w:rPr>
        <w:t xml:space="preserve">Защита прав потребителей финансовых услуг, повышение финансовой доступности </w:t>
      </w:r>
    </w:p>
    <w:p w14:paraId="3068EDBF" w14:textId="77777777" w:rsidR="001516F0" w:rsidRPr="000B227F" w:rsidRDefault="001516F0" w:rsidP="001516F0">
      <w:pPr>
        <w:spacing w:after="0" w:line="240" w:lineRule="auto"/>
        <w:contextualSpacing/>
        <w:jc w:val="center"/>
        <w:rPr>
          <w:rFonts w:ascii="Times New Roman" w:hAnsi="Times New Roman" w:cs="Times New Roman"/>
          <w:b/>
          <w:sz w:val="24"/>
          <w:szCs w:val="24"/>
          <w:u w:val="single"/>
        </w:rPr>
      </w:pPr>
      <w:r w:rsidRPr="000B227F">
        <w:rPr>
          <w:rFonts w:ascii="Times New Roman" w:hAnsi="Times New Roman" w:cs="Times New Roman"/>
          <w:b/>
          <w:sz w:val="24"/>
          <w:szCs w:val="24"/>
          <w:u w:val="single"/>
        </w:rPr>
        <w:t>и финансовой грамотности</w:t>
      </w:r>
    </w:p>
    <w:p w14:paraId="447572D5" w14:textId="77777777" w:rsidR="001516F0" w:rsidRPr="000B227F" w:rsidRDefault="001516F0" w:rsidP="001516F0">
      <w:pPr>
        <w:spacing w:after="0" w:line="240" w:lineRule="auto"/>
        <w:ind w:firstLine="709"/>
        <w:contextualSpacing/>
        <w:jc w:val="both"/>
        <w:rPr>
          <w:rFonts w:ascii="Times New Roman" w:hAnsi="Times New Roman" w:cs="Times New Roman"/>
          <w:b/>
          <w:sz w:val="24"/>
          <w:szCs w:val="24"/>
          <w:u w:val="single"/>
        </w:rPr>
      </w:pPr>
    </w:p>
    <w:p w14:paraId="68C322ED"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Цель 3. Повышение вовлеченности граждан в финансовый сектор и финансовой грамотности населения</w:t>
      </w:r>
    </w:p>
    <w:p w14:paraId="211FDE3A"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lang w:eastAsia="ru-RU"/>
        </w:rPr>
      </w:pPr>
      <w:r w:rsidRPr="000B227F">
        <w:rPr>
          <w:rFonts w:ascii="Times New Roman" w:hAnsi="Times New Roman" w:cs="Times New Roman"/>
          <w:b/>
          <w:i/>
          <w:sz w:val="24"/>
          <w:szCs w:val="24"/>
          <w:lang w:eastAsia="ru-RU"/>
        </w:rPr>
        <w:t>Принятие потребителями финансовых услуг необдуманных решений при использовании финансовых услуг</w:t>
      </w:r>
    </w:p>
    <w:p w14:paraId="5E9D21C6"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Формирование у потребителей ответственного отношения за принятие собственных финансовых решений</w:t>
      </w:r>
    </w:p>
    <w:p w14:paraId="4D258671"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33A36AE7"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val="kk-KZ" w:eastAsia="ru-RU"/>
        </w:rPr>
      </w:pPr>
      <w:r w:rsidRPr="000B227F">
        <w:rPr>
          <w:rFonts w:ascii="Times New Roman" w:eastAsia="Times New Roman" w:hAnsi="Times New Roman" w:cs="Times New Roman"/>
          <w:sz w:val="24"/>
          <w:szCs w:val="24"/>
          <w:lang w:val="kk-KZ" w:eastAsia="ru-RU"/>
        </w:rPr>
        <w:t>В рамках повышения финансовой грамотности различных целевых аудиторий проводились различные курсы, лекции-тренинги.</w:t>
      </w:r>
    </w:p>
    <w:p w14:paraId="1F48EF32"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val="kk-KZ" w:eastAsia="ru-RU"/>
        </w:rPr>
      </w:pPr>
      <w:r w:rsidRPr="000B227F">
        <w:rPr>
          <w:rFonts w:ascii="Times New Roman" w:eastAsia="Times New Roman" w:hAnsi="Times New Roman" w:cs="Times New Roman"/>
          <w:sz w:val="24"/>
          <w:szCs w:val="24"/>
          <w:lang w:val="kk-KZ" w:eastAsia="ru-RU"/>
        </w:rPr>
        <w:t xml:space="preserve">Для детей среднего и старшего возраста в научно-популярном журнале «OYLA» была организована публикация цикла (30 полос) разъяснительных статей по основам финансовой грамотности. </w:t>
      </w:r>
    </w:p>
    <w:p w14:paraId="4C0D0B62"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0B227F">
        <w:rPr>
          <w:rFonts w:ascii="Times New Roman" w:eastAsia="Times New Roman" w:hAnsi="Times New Roman" w:cs="Times New Roman"/>
          <w:sz w:val="24"/>
          <w:szCs w:val="24"/>
          <w:lang w:val="kk-KZ" w:eastAsia="ru-RU"/>
        </w:rPr>
        <w:t>В целом в 2020 году проведено 15 обучающих мероприятий с общим охватом более 8000 человек.</w:t>
      </w:r>
    </w:p>
    <w:p w14:paraId="2B7A8D9D"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hAnsi="Times New Roman" w:cs="Times New Roman"/>
          <w:i/>
          <w:sz w:val="24"/>
          <w:szCs w:val="24"/>
        </w:rPr>
      </w:pPr>
      <w:r w:rsidRPr="000B227F">
        <w:rPr>
          <w:rFonts w:ascii="Times New Roman" w:hAnsi="Times New Roman" w:cs="Times New Roman"/>
          <w:i/>
          <w:sz w:val="24"/>
          <w:szCs w:val="24"/>
        </w:rPr>
        <w:t>Мероприятия по повышению финансовой и правовой грамотности населения по вопросам противодействия финансовым пирамидам</w:t>
      </w:r>
    </w:p>
    <w:p w14:paraId="17977FCD"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городах </w:t>
      </w:r>
      <w:proofErr w:type="spellStart"/>
      <w:r w:rsidRPr="000B227F">
        <w:rPr>
          <w:rFonts w:ascii="Times New Roman" w:hAnsi="Times New Roman" w:cs="Times New Roman"/>
          <w:sz w:val="24"/>
          <w:szCs w:val="24"/>
        </w:rPr>
        <w:t>Нур</w:t>
      </w:r>
      <w:proofErr w:type="spellEnd"/>
      <w:r w:rsidRPr="000B227F">
        <w:rPr>
          <w:rFonts w:ascii="Times New Roman" w:hAnsi="Times New Roman" w:cs="Times New Roman"/>
          <w:sz w:val="24"/>
          <w:szCs w:val="24"/>
        </w:rPr>
        <w:t xml:space="preserve">-Султан, Алматы и Шымкент размещены </w:t>
      </w:r>
      <w:proofErr w:type="spellStart"/>
      <w:r w:rsidRPr="000B227F">
        <w:rPr>
          <w:rFonts w:ascii="Times New Roman" w:hAnsi="Times New Roman" w:cs="Times New Roman"/>
          <w:sz w:val="24"/>
          <w:szCs w:val="24"/>
        </w:rPr>
        <w:t>билборды</w:t>
      </w:r>
      <w:proofErr w:type="spellEnd"/>
      <w:r w:rsidRPr="000B227F">
        <w:rPr>
          <w:rFonts w:ascii="Times New Roman" w:hAnsi="Times New Roman" w:cs="Times New Roman"/>
          <w:sz w:val="24"/>
          <w:szCs w:val="24"/>
        </w:rPr>
        <w:t xml:space="preserve"> (35) с информацией о противодействии финансовым пирамидам. </w:t>
      </w:r>
    </w:p>
    <w:p w14:paraId="2A0EA50E"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На радиостанциях Казахстана </w:t>
      </w:r>
      <w:proofErr w:type="spellStart"/>
      <w:r w:rsidRPr="000B227F">
        <w:rPr>
          <w:rFonts w:ascii="Times New Roman" w:hAnsi="Times New Roman" w:cs="Times New Roman"/>
          <w:sz w:val="24"/>
          <w:szCs w:val="24"/>
        </w:rPr>
        <w:t>ротировались</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аудиоролики</w:t>
      </w:r>
      <w:proofErr w:type="spellEnd"/>
      <w:r w:rsidRPr="000B227F">
        <w:rPr>
          <w:rFonts w:ascii="Times New Roman" w:hAnsi="Times New Roman" w:cs="Times New Roman"/>
          <w:sz w:val="24"/>
          <w:szCs w:val="24"/>
        </w:rPr>
        <w:t xml:space="preserve">, в которых освещались вопросы финансовых пирамид и финансового мошенничества. </w:t>
      </w:r>
    </w:p>
    <w:p w14:paraId="0EDECBCD"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Материалы по противодействию финансовым пирамидам и финансовому мошенничеству публиковались в республиканских и региональных СМИ.  </w:t>
      </w:r>
    </w:p>
    <w:p w14:paraId="143D366A"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Проведен системный мониторинг рекламной деятельности сомнительных финансовых организаций на предмет признаков финансовых пирамид и финансового мошенничества, который охватил 71 </w:t>
      </w:r>
      <w:proofErr w:type="spellStart"/>
      <w:r w:rsidRPr="000B227F">
        <w:rPr>
          <w:rFonts w:ascii="Times New Roman" w:hAnsi="Times New Roman" w:cs="Times New Roman"/>
          <w:sz w:val="24"/>
          <w:szCs w:val="24"/>
        </w:rPr>
        <w:t>интернет-ресурс</w:t>
      </w:r>
      <w:proofErr w:type="spellEnd"/>
      <w:r w:rsidRPr="000B227F">
        <w:rPr>
          <w:rFonts w:ascii="Times New Roman" w:hAnsi="Times New Roman" w:cs="Times New Roman"/>
          <w:sz w:val="24"/>
          <w:szCs w:val="24"/>
        </w:rPr>
        <w:t>, 20 телеканалов, 20 радиостанций и 35 печатных изданий.</w:t>
      </w:r>
    </w:p>
    <w:p w14:paraId="0B5D4A2A"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p>
    <w:p w14:paraId="14F2F5F1"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Низкая вовлеченность потребителей финансовых услуг в повышении финансовой грамотности</w:t>
      </w:r>
    </w:p>
    <w:p w14:paraId="47D1D95F"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Проведение масштабной информационно-разъяснительной работы и популяризация финансовой грамотности</w:t>
      </w:r>
    </w:p>
    <w:p w14:paraId="588CDB8A"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2ECF28A8"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Агентством разработана Концепция повышения финансовой грамотности на </w:t>
      </w:r>
      <w:r w:rsidRPr="000B227F">
        <w:rPr>
          <w:rFonts w:ascii="Times New Roman" w:hAnsi="Times New Roman" w:cs="Times New Roman"/>
          <w:sz w:val="24"/>
          <w:szCs w:val="24"/>
        </w:rPr>
        <w:br/>
        <w:t xml:space="preserve">2020-2024 годы, утвержденная Постановлением Правительства от 30.05.2020г. №338. </w:t>
      </w:r>
    </w:p>
    <w:p w14:paraId="5C57819B"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2020 году в рамках реализации мероприятий Концепции Агентством публиковано 586 материалов по повышению финансовой грамотности на государственном и русском языках.  </w:t>
      </w:r>
    </w:p>
    <w:p w14:paraId="24140994"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В республиканских СМИ опубликовано 644 материалов и 75 видеосюжетов, в региональных СМИ – 251 материал, 39 видеосюжетов. </w:t>
      </w:r>
    </w:p>
    <w:p w14:paraId="2FC02651" w14:textId="40576889"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Для повышения финансовой грамотности и увеличения охвата аудитории реализуются специальные проекты с ведущими казахстанскими СМИ по защите прав потребителей финансовых услуг и финансовой </w:t>
      </w:r>
      <w:r w:rsidR="00657A2A" w:rsidRPr="000B227F">
        <w:rPr>
          <w:rFonts w:ascii="Times New Roman" w:hAnsi="Times New Roman" w:cs="Times New Roman"/>
          <w:sz w:val="24"/>
          <w:szCs w:val="24"/>
        </w:rPr>
        <w:t>грамотности: на</w:t>
      </w:r>
      <w:r w:rsidRPr="000B227F">
        <w:rPr>
          <w:rFonts w:ascii="Times New Roman" w:hAnsi="Times New Roman" w:cs="Times New Roman"/>
          <w:sz w:val="24"/>
          <w:szCs w:val="24"/>
        </w:rPr>
        <w:t xml:space="preserve"> деловом портале </w:t>
      </w:r>
      <w:r w:rsidR="00657A2A" w:rsidRPr="000B227F">
        <w:rPr>
          <w:rFonts w:ascii="Times New Roman" w:hAnsi="Times New Roman" w:cs="Times New Roman"/>
          <w:sz w:val="24"/>
          <w:szCs w:val="24"/>
        </w:rPr>
        <w:t>InBusiness.kz подготовлено</w:t>
      </w:r>
      <w:r w:rsidRPr="000B227F">
        <w:rPr>
          <w:rFonts w:ascii="Times New Roman" w:hAnsi="Times New Roman" w:cs="Times New Roman"/>
          <w:sz w:val="24"/>
          <w:szCs w:val="24"/>
        </w:rPr>
        <w:t xml:space="preserve"> и размещено 54 публикации, в рубрике делового издания газеты «Капитал» опубликовано 56 материалов, на портале </w:t>
      </w:r>
      <w:r w:rsidRPr="000B227F">
        <w:rPr>
          <w:rFonts w:ascii="Times New Roman" w:hAnsi="Times New Roman" w:cs="Times New Roman"/>
          <w:sz w:val="24"/>
          <w:szCs w:val="24"/>
          <w:lang w:val="en-US"/>
        </w:rPr>
        <w:t>N</w:t>
      </w:r>
      <w:r w:rsidRPr="000B227F">
        <w:rPr>
          <w:rFonts w:ascii="Times New Roman" w:hAnsi="Times New Roman" w:cs="Times New Roman"/>
          <w:sz w:val="24"/>
          <w:szCs w:val="24"/>
        </w:rPr>
        <w:t xml:space="preserve">ur.kz опубликовано 10 разъяснительных материалов. </w:t>
      </w:r>
    </w:p>
    <w:p w14:paraId="798ACA10"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В рамках проводимых разъяснительно-профилактических мероприятий на официальных аккаунтах в социальных сетях (</w:t>
      </w:r>
      <w:proofErr w:type="spellStart"/>
      <w:r w:rsidRPr="000B227F">
        <w:rPr>
          <w:rFonts w:ascii="Times New Roman" w:hAnsi="Times New Roman" w:cs="Times New Roman"/>
          <w:sz w:val="24"/>
          <w:szCs w:val="24"/>
        </w:rPr>
        <w:t>Facebook</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Instagram</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Telegram</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Twitter</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lastRenderedPageBreak/>
        <w:t>ВКонтакте</w:t>
      </w:r>
      <w:proofErr w:type="spellEnd"/>
      <w:r w:rsidRPr="000B227F">
        <w:rPr>
          <w:rFonts w:ascii="Times New Roman" w:hAnsi="Times New Roman" w:cs="Times New Roman"/>
          <w:sz w:val="24"/>
          <w:szCs w:val="24"/>
        </w:rPr>
        <w:t xml:space="preserve">, Одноклассники, </w:t>
      </w:r>
      <w:proofErr w:type="spellStart"/>
      <w:r w:rsidRPr="000B227F">
        <w:rPr>
          <w:rFonts w:ascii="Times New Roman" w:hAnsi="Times New Roman" w:cs="Times New Roman"/>
          <w:sz w:val="24"/>
          <w:szCs w:val="24"/>
        </w:rPr>
        <w:t>YouTube</w:t>
      </w:r>
      <w:proofErr w:type="spellEnd"/>
      <w:r w:rsidRPr="000B227F">
        <w:rPr>
          <w:rFonts w:ascii="Times New Roman" w:hAnsi="Times New Roman" w:cs="Times New Roman"/>
          <w:sz w:val="24"/>
          <w:szCs w:val="24"/>
        </w:rPr>
        <w:t xml:space="preserve">) размещено 760 постов/видеороликов на государственном и русском языках с суммарным охватом свыше 4 млн. просмотров. </w:t>
      </w:r>
    </w:p>
    <w:p w14:paraId="5C76C371"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Совместно с Генеральной прокуратурой Республики Казахстан запущен </w:t>
      </w:r>
      <w:proofErr w:type="spellStart"/>
      <w:r w:rsidRPr="000B227F">
        <w:rPr>
          <w:rFonts w:ascii="Times New Roman" w:hAnsi="Times New Roman" w:cs="Times New Roman"/>
          <w:sz w:val="24"/>
          <w:szCs w:val="24"/>
        </w:rPr>
        <w:t>Telegram</w:t>
      </w:r>
      <w:proofErr w:type="spellEnd"/>
      <w:r w:rsidRPr="000B227F">
        <w:rPr>
          <w:rFonts w:ascii="Times New Roman" w:hAnsi="Times New Roman" w:cs="Times New Roman"/>
          <w:sz w:val="24"/>
          <w:szCs w:val="24"/>
        </w:rPr>
        <w:t xml:space="preserve">-канал </w:t>
      </w:r>
      <w:hyperlink r:id="rId9" w:history="1">
        <w:r w:rsidRPr="000B227F">
          <w:rPr>
            <w:rFonts w:ascii="Times New Roman" w:hAnsi="Times New Roman" w:cs="Times New Roman"/>
            <w:sz w:val="24"/>
            <w:szCs w:val="24"/>
          </w:rPr>
          <w:t>https://t.me/finprava</w:t>
        </w:r>
      </w:hyperlink>
      <w:r w:rsidRPr="000B227F">
        <w:rPr>
          <w:rFonts w:ascii="Times New Roman" w:hAnsi="Times New Roman" w:cs="Times New Roman"/>
          <w:sz w:val="24"/>
          <w:szCs w:val="24"/>
        </w:rPr>
        <w:t>, на котором опубликовано более 150 материалов.</w:t>
      </w:r>
    </w:p>
    <w:p w14:paraId="5334BB2A"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С 25 июня 2020 года функционирует мобильное приложение "</w:t>
      </w:r>
      <w:proofErr w:type="spellStart"/>
      <w:r w:rsidRPr="000B227F">
        <w:rPr>
          <w:rFonts w:ascii="Times New Roman" w:hAnsi="Times New Roman" w:cs="Times New Roman"/>
          <w:sz w:val="24"/>
          <w:szCs w:val="24"/>
        </w:rPr>
        <w:t>Fingramota</w:t>
      </w:r>
      <w:proofErr w:type="spellEnd"/>
      <w:r w:rsidRPr="000B227F">
        <w:rPr>
          <w:rFonts w:ascii="Times New Roman" w:hAnsi="Times New Roman" w:cs="Times New Roman"/>
          <w:sz w:val="24"/>
          <w:szCs w:val="24"/>
        </w:rPr>
        <w:t xml:space="preserve"> </w:t>
      </w:r>
      <w:proofErr w:type="spellStart"/>
      <w:r w:rsidRPr="000B227F">
        <w:rPr>
          <w:rFonts w:ascii="Times New Roman" w:hAnsi="Times New Roman" w:cs="Times New Roman"/>
          <w:sz w:val="24"/>
          <w:szCs w:val="24"/>
        </w:rPr>
        <w:t>Online</w:t>
      </w:r>
      <w:proofErr w:type="spellEnd"/>
      <w:r w:rsidRPr="000B227F">
        <w:rPr>
          <w:rFonts w:ascii="Times New Roman" w:hAnsi="Times New Roman" w:cs="Times New Roman"/>
          <w:sz w:val="24"/>
          <w:szCs w:val="24"/>
        </w:rPr>
        <w:t xml:space="preserve">", посредством которого по состоянию на 01.01.2021г. поступило 1800 вопросов от граждан, на которые представлены оперативные консультации. </w:t>
      </w:r>
    </w:p>
    <w:p w14:paraId="28FD106D"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p>
    <w:p w14:paraId="0F6BFB18"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Появление новых инновационных, ранее не существовавших видов финансовых услуг</w:t>
      </w:r>
    </w:p>
    <w:p w14:paraId="3C8C84DC"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Системный мониторинг финансовых продуктов, расширение возможностей информирования, консультирования и поддержки потребителей финансовых услуг</w:t>
      </w:r>
    </w:p>
    <w:p w14:paraId="75D1CE26"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0CDE8D08"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Агентством проводится мониторинг вновь выводимых на рынок и уже существующих финансовых продуктов и </w:t>
      </w:r>
      <w:proofErr w:type="spellStart"/>
      <w:r w:rsidRPr="000B227F">
        <w:rPr>
          <w:rFonts w:ascii="Times New Roman" w:hAnsi="Times New Roman" w:cs="Times New Roman"/>
          <w:sz w:val="24"/>
          <w:szCs w:val="24"/>
        </w:rPr>
        <w:t>микрокредитов</w:t>
      </w:r>
      <w:proofErr w:type="spellEnd"/>
      <w:r w:rsidRPr="000B227F">
        <w:rPr>
          <w:rFonts w:ascii="Times New Roman" w:hAnsi="Times New Roman" w:cs="Times New Roman"/>
          <w:sz w:val="24"/>
          <w:szCs w:val="24"/>
        </w:rPr>
        <w:t xml:space="preserve"> в целях недопущения появления на рынке несанкционированных финансовых продуктов и </w:t>
      </w:r>
      <w:proofErr w:type="spellStart"/>
      <w:r w:rsidRPr="000B227F">
        <w:rPr>
          <w:rFonts w:ascii="Times New Roman" w:hAnsi="Times New Roman" w:cs="Times New Roman"/>
          <w:sz w:val="24"/>
          <w:szCs w:val="24"/>
        </w:rPr>
        <w:t>микрокредитов</w:t>
      </w:r>
      <w:proofErr w:type="spellEnd"/>
      <w:r w:rsidRPr="000B227F">
        <w:rPr>
          <w:rFonts w:ascii="Times New Roman" w:hAnsi="Times New Roman" w:cs="Times New Roman"/>
          <w:sz w:val="24"/>
          <w:szCs w:val="24"/>
        </w:rPr>
        <w:t>, а также усиления контроля над предоставляемыми на рынке финансовыми услугами.</w:t>
      </w:r>
    </w:p>
    <w:p w14:paraId="50D51DE2"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В 2020 году Агентством было рассмотрено:</w:t>
      </w:r>
    </w:p>
    <w:p w14:paraId="1AE846DD" w14:textId="77777777" w:rsidR="001516F0" w:rsidRPr="000B227F" w:rsidRDefault="001516F0" w:rsidP="001516F0">
      <w:pPr>
        <w:autoSpaceDE w:val="0"/>
        <w:autoSpaceDN w:val="0"/>
        <w:adjustRightInd w:val="0"/>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1) уведомлений по банковским продуктам – 216;</w:t>
      </w:r>
    </w:p>
    <w:p w14:paraId="5BF34501" w14:textId="77777777" w:rsidR="001516F0" w:rsidRPr="000B227F" w:rsidRDefault="001516F0" w:rsidP="001516F0">
      <w:pPr>
        <w:autoSpaceDE w:val="0"/>
        <w:autoSpaceDN w:val="0"/>
        <w:adjustRightInd w:val="0"/>
        <w:spacing w:after="0"/>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2) уведомлений по </w:t>
      </w:r>
      <w:proofErr w:type="spellStart"/>
      <w:r w:rsidRPr="000B227F">
        <w:rPr>
          <w:rFonts w:ascii="Times New Roman" w:hAnsi="Times New Roman" w:cs="Times New Roman"/>
          <w:sz w:val="24"/>
          <w:szCs w:val="24"/>
        </w:rPr>
        <w:t>микрокредитам</w:t>
      </w:r>
      <w:proofErr w:type="spellEnd"/>
      <w:r w:rsidRPr="000B227F">
        <w:rPr>
          <w:rFonts w:ascii="Times New Roman" w:hAnsi="Times New Roman" w:cs="Times New Roman"/>
          <w:sz w:val="24"/>
          <w:szCs w:val="24"/>
        </w:rPr>
        <w:t xml:space="preserve"> – 2125;</w:t>
      </w:r>
    </w:p>
    <w:p w14:paraId="1EAB2476" w14:textId="77777777" w:rsidR="001516F0" w:rsidRPr="000B227F" w:rsidRDefault="001516F0" w:rsidP="001516F0">
      <w:pPr>
        <w:autoSpaceDE w:val="0"/>
        <w:autoSpaceDN w:val="0"/>
        <w:adjustRightInd w:val="0"/>
        <w:spacing w:after="0"/>
        <w:ind w:firstLine="709"/>
        <w:jc w:val="both"/>
        <w:rPr>
          <w:rFonts w:ascii="Times New Roman" w:hAnsi="Times New Roman" w:cs="Times New Roman"/>
          <w:sz w:val="24"/>
          <w:szCs w:val="24"/>
        </w:rPr>
      </w:pPr>
      <w:r w:rsidRPr="000B227F">
        <w:rPr>
          <w:rFonts w:ascii="Times New Roman" w:hAnsi="Times New Roman" w:cs="Times New Roman"/>
          <w:sz w:val="24"/>
          <w:szCs w:val="24"/>
        </w:rPr>
        <w:t>3) уведомлений по продуктам добровольного страхования –74.</w:t>
      </w:r>
    </w:p>
    <w:p w14:paraId="26A28854" w14:textId="77777777" w:rsidR="001516F0" w:rsidRPr="000B227F" w:rsidRDefault="001516F0" w:rsidP="001516F0">
      <w:pPr>
        <w:autoSpaceDE w:val="0"/>
        <w:autoSpaceDN w:val="0"/>
        <w:adjustRightInd w:val="0"/>
        <w:spacing w:after="0"/>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Реестры уведомлений финансовых организаций об утверждении финансовых продуктов и </w:t>
      </w:r>
      <w:proofErr w:type="spellStart"/>
      <w:r w:rsidRPr="000B227F">
        <w:rPr>
          <w:rFonts w:ascii="Times New Roman" w:hAnsi="Times New Roman" w:cs="Times New Roman"/>
          <w:sz w:val="24"/>
          <w:szCs w:val="24"/>
        </w:rPr>
        <w:t>микрокредитов</w:t>
      </w:r>
      <w:proofErr w:type="spellEnd"/>
      <w:r w:rsidRPr="000B227F">
        <w:rPr>
          <w:rFonts w:ascii="Times New Roman" w:hAnsi="Times New Roman" w:cs="Times New Roman"/>
          <w:sz w:val="24"/>
          <w:szCs w:val="24"/>
        </w:rPr>
        <w:t xml:space="preserve"> размещены на официальном сайте Агентства.</w:t>
      </w:r>
    </w:p>
    <w:p w14:paraId="4454C09A" w14:textId="77777777" w:rsidR="001516F0" w:rsidRPr="000B227F" w:rsidRDefault="001516F0" w:rsidP="001516F0">
      <w:pPr>
        <w:pStyle w:val="a3"/>
        <w:spacing w:before="0" w:beforeAutospacing="0" w:after="0" w:afterAutospacing="0"/>
        <w:ind w:firstLine="709"/>
        <w:jc w:val="both"/>
        <w:rPr>
          <w:rFonts w:eastAsiaTheme="minorHAnsi"/>
          <w:lang w:eastAsia="en-US"/>
        </w:rPr>
      </w:pPr>
      <w:r w:rsidRPr="000B227F">
        <w:rPr>
          <w:rFonts w:eastAsiaTheme="minorHAnsi"/>
          <w:lang w:eastAsia="en-US"/>
        </w:rPr>
        <w:t>В целях усиления контроля за небанковскими кредитными организациями для повышения защиты интересов граждан Агентством с апреля 2020 года, проводится системный мониторинг рекламной деятельности финансовых и иных организаций, взаимодействующих с населением, на предмет возможности мошеннических и других незаконных действий.</w:t>
      </w:r>
    </w:p>
    <w:p w14:paraId="026DB5BB" w14:textId="77777777" w:rsidR="001516F0" w:rsidRPr="000B227F" w:rsidRDefault="001516F0" w:rsidP="001516F0">
      <w:pPr>
        <w:pStyle w:val="a3"/>
        <w:spacing w:before="0" w:beforeAutospacing="0" w:after="0" w:afterAutospacing="0"/>
        <w:ind w:firstLine="709"/>
        <w:jc w:val="both"/>
      </w:pPr>
      <w:r w:rsidRPr="000B227F">
        <w:t>По результатам проведенного мониторинга в период апрель-декабрь 2020 года были приняты следующие меры:</w:t>
      </w:r>
    </w:p>
    <w:p w14:paraId="45E17BFC" w14:textId="77777777" w:rsidR="001516F0" w:rsidRPr="000B227F" w:rsidRDefault="001516F0" w:rsidP="001516F0">
      <w:pPr>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1) в отношении банков второго уровня было применено 6 рекомендательных мер надзорного реагирования и наложено 3 административных взыскания в виде штрафов; </w:t>
      </w:r>
    </w:p>
    <w:p w14:paraId="765E3D1A" w14:textId="77777777" w:rsidR="001516F0" w:rsidRPr="000B227F" w:rsidRDefault="001516F0" w:rsidP="001516F0">
      <w:pPr>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 xml:space="preserve">2) в отношении организаций, осуществляющих </w:t>
      </w:r>
      <w:proofErr w:type="spellStart"/>
      <w:r w:rsidRPr="000B227F">
        <w:rPr>
          <w:rFonts w:ascii="Times New Roman" w:hAnsi="Times New Roman" w:cs="Times New Roman"/>
          <w:sz w:val="24"/>
          <w:szCs w:val="24"/>
        </w:rPr>
        <w:t>микрофинансовую</w:t>
      </w:r>
      <w:proofErr w:type="spellEnd"/>
      <w:r w:rsidRPr="000B227F">
        <w:rPr>
          <w:rFonts w:ascii="Times New Roman" w:hAnsi="Times New Roman" w:cs="Times New Roman"/>
          <w:sz w:val="24"/>
          <w:szCs w:val="24"/>
        </w:rPr>
        <w:t xml:space="preserve"> деятельность, было применено 150 мер воздействия в виде письменных предписаний и 76 административных взысканий в виде штрафов; </w:t>
      </w:r>
    </w:p>
    <w:p w14:paraId="185AF506" w14:textId="77777777" w:rsidR="001516F0" w:rsidRPr="000B227F" w:rsidRDefault="001516F0" w:rsidP="001516F0">
      <w:pPr>
        <w:tabs>
          <w:tab w:val="left" w:pos="34"/>
        </w:tabs>
        <w:spacing w:after="0" w:line="240" w:lineRule="auto"/>
        <w:ind w:firstLine="709"/>
        <w:jc w:val="both"/>
        <w:rPr>
          <w:rFonts w:ascii="Times New Roman" w:hAnsi="Times New Roman" w:cs="Times New Roman"/>
          <w:sz w:val="24"/>
          <w:szCs w:val="24"/>
        </w:rPr>
      </w:pPr>
      <w:r w:rsidRPr="000B227F">
        <w:rPr>
          <w:rFonts w:ascii="Times New Roman" w:hAnsi="Times New Roman" w:cs="Times New Roman"/>
          <w:sz w:val="24"/>
          <w:szCs w:val="24"/>
        </w:rPr>
        <w:t>3) в отношении организаций, осуществляющих брокерскую и (или) дилерскую деятельность на рынке ценных бумаг и/или деятельность по управлению инвестиционным портфелем, было наложено 2 административных взыскания в виде штрафов.</w:t>
      </w:r>
    </w:p>
    <w:p w14:paraId="7476B447"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p>
    <w:p w14:paraId="08EF047A"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Введение невыгодных для потребителя продуктов ввиду их высокой стоимости</w:t>
      </w:r>
    </w:p>
    <w:p w14:paraId="548B7963"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Рыночное регулирование тарифной политики и предоставление услуг в цифровом формате</w:t>
      </w:r>
    </w:p>
    <w:p w14:paraId="05BCA63B"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3141E20D" w14:textId="77777777" w:rsidR="001516F0" w:rsidRPr="000B227F" w:rsidRDefault="001516F0" w:rsidP="001516F0">
      <w:pPr>
        <w:tabs>
          <w:tab w:val="left" w:pos="3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Для реализации подхода по дифференциации предельных значений ставок вознаграждения в разрезе видов займов и типов заемщиков Агентством разработан соответствующий проект постановления Правления «О внесении изменений в некоторые нормативные правовые акты Республики Казахстан по вопросам регулирования банковской и </w:t>
      </w:r>
      <w:proofErr w:type="spellStart"/>
      <w:r w:rsidRPr="000B227F">
        <w:rPr>
          <w:rFonts w:ascii="Times New Roman" w:eastAsia="Times New Roman" w:hAnsi="Times New Roman" w:cs="Times New Roman"/>
          <w:sz w:val="24"/>
          <w:szCs w:val="24"/>
          <w:lang w:eastAsia="ru-RU"/>
        </w:rPr>
        <w:t>микрофинансовой</w:t>
      </w:r>
      <w:proofErr w:type="spellEnd"/>
      <w:r w:rsidRPr="000B227F">
        <w:rPr>
          <w:rFonts w:ascii="Times New Roman" w:eastAsia="Times New Roman" w:hAnsi="Times New Roman" w:cs="Times New Roman"/>
          <w:sz w:val="24"/>
          <w:szCs w:val="24"/>
          <w:lang w:eastAsia="ru-RU"/>
        </w:rPr>
        <w:t xml:space="preserve"> деятельности». Проект будет рассмотрен на очередном заседании Правления Агентства.</w:t>
      </w:r>
    </w:p>
    <w:p w14:paraId="4789E48A" w14:textId="7E1A3A73" w:rsidR="001516F0" w:rsidRDefault="001516F0" w:rsidP="001516F0">
      <w:pPr>
        <w:tabs>
          <w:tab w:val="left" w:pos="34"/>
        </w:tabs>
        <w:spacing w:after="0" w:line="240" w:lineRule="auto"/>
        <w:ind w:firstLine="709"/>
        <w:jc w:val="both"/>
        <w:rPr>
          <w:rFonts w:ascii="Times New Roman" w:hAnsi="Times New Roman" w:cs="Times New Roman"/>
          <w:b/>
          <w:i/>
          <w:sz w:val="24"/>
          <w:szCs w:val="24"/>
        </w:rPr>
      </w:pPr>
    </w:p>
    <w:p w14:paraId="4F4151CD" w14:textId="4AA4ECA0" w:rsidR="00657A2A" w:rsidRDefault="00657A2A" w:rsidP="001516F0">
      <w:pPr>
        <w:tabs>
          <w:tab w:val="left" w:pos="34"/>
        </w:tabs>
        <w:spacing w:after="0" w:line="240" w:lineRule="auto"/>
        <w:ind w:firstLine="709"/>
        <w:jc w:val="both"/>
        <w:rPr>
          <w:rFonts w:ascii="Times New Roman" w:hAnsi="Times New Roman" w:cs="Times New Roman"/>
          <w:b/>
          <w:i/>
          <w:sz w:val="24"/>
          <w:szCs w:val="24"/>
        </w:rPr>
      </w:pPr>
    </w:p>
    <w:p w14:paraId="3416A1CC" w14:textId="77777777" w:rsidR="00657A2A" w:rsidRPr="000B227F" w:rsidRDefault="00657A2A" w:rsidP="001516F0">
      <w:pPr>
        <w:tabs>
          <w:tab w:val="left" w:pos="34"/>
        </w:tabs>
        <w:spacing w:after="0" w:line="240" w:lineRule="auto"/>
        <w:ind w:firstLine="709"/>
        <w:jc w:val="both"/>
        <w:rPr>
          <w:rFonts w:ascii="Times New Roman" w:hAnsi="Times New Roman" w:cs="Times New Roman"/>
          <w:b/>
          <w:i/>
          <w:sz w:val="24"/>
          <w:szCs w:val="24"/>
        </w:rPr>
      </w:pPr>
    </w:p>
    <w:p w14:paraId="1011577B" w14:textId="77777777" w:rsidR="001516F0" w:rsidRPr="000B227F" w:rsidRDefault="001516F0" w:rsidP="001516F0">
      <w:pPr>
        <w:tabs>
          <w:tab w:val="left" w:pos="34"/>
        </w:tabs>
        <w:spacing w:after="0" w:line="240" w:lineRule="auto"/>
        <w:jc w:val="center"/>
        <w:rPr>
          <w:rFonts w:ascii="Times New Roman" w:eastAsia="Calibri" w:hAnsi="Times New Roman" w:cs="Times New Roman"/>
          <w:b/>
          <w:sz w:val="24"/>
          <w:szCs w:val="24"/>
          <w:u w:val="single"/>
        </w:rPr>
      </w:pPr>
    </w:p>
    <w:p w14:paraId="0455B8E4" w14:textId="77777777" w:rsidR="001516F0" w:rsidRPr="000B227F" w:rsidRDefault="001516F0" w:rsidP="001516F0">
      <w:pPr>
        <w:tabs>
          <w:tab w:val="left" w:pos="34"/>
        </w:tabs>
        <w:spacing w:after="0" w:line="240" w:lineRule="auto"/>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lastRenderedPageBreak/>
        <w:t>Стратегическое направление 4.</w:t>
      </w:r>
    </w:p>
    <w:p w14:paraId="67A2C6F0" w14:textId="77777777" w:rsidR="001516F0" w:rsidRPr="000B227F" w:rsidRDefault="001516F0" w:rsidP="001516F0">
      <w:pPr>
        <w:tabs>
          <w:tab w:val="left" w:pos="34"/>
        </w:tabs>
        <w:spacing w:after="0" w:line="240" w:lineRule="auto"/>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Конкуренция</w:t>
      </w:r>
    </w:p>
    <w:p w14:paraId="6AB6C34C" w14:textId="77777777" w:rsidR="001516F0" w:rsidRPr="000B227F" w:rsidRDefault="001516F0" w:rsidP="001516F0">
      <w:pPr>
        <w:tabs>
          <w:tab w:val="left" w:pos="34"/>
        </w:tabs>
        <w:spacing w:after="0" w:line="240" w:lineRule="auto"/>
        <w:ind w:firstLine="709"/>
        <w:jc w:val="center"/>
        <w:rPr>
          <w:rFonts w:ascii="Times New Roman" w:eastAsia="Calibri" w:hAnsi="Times New Roman" w:cs="Times New Roman"/>
          <w:b/>
          <w:sz w:val="24"/>
          <w:szCs w:val="24"/>
          <w:u w:val="single"/>
        </w:rPr>
      </w:pPr>
    </w:p>
    <w:p w14:paraId="006F19D9"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Цель 4. Активизация страхового рынка</w:t>
      </w:r>
    </w:p>
    <w:p w14:paraId="413F4823"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Наличие недобросовестных практик на финансовом рынке</w:t>
      </w:r>
    </w:p>
    <w:p w14:paraId="33BF4A4C"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b/>
          <w:i/>
          <w:sz w:val="24"/>
          <w:szCs w:val="24"/>
        </w:rPr>
        <w:t>Введение принципов добросовестного поведения поставщиков финансовых услуг, противодействие незаконной и безлицензионной деятельности на финансовом рынке</w:t>
      </w:r>
    </w:p>
    <w:p w14:paraId="4C9213E9"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bCs/>
          <w:i/>
          <w:sz w:val="24"/>
          <w:szCs w:val="24"/>
        </w:rPr>
        <w:t>Мероприятия по управлению возможным риском:</w:t>
      </w:r>
    </w:p>
    <w:p w14:paraId="1B12A45E" w14:textId="77777777" w:rsidR="001516F0" w:rsidRPr="000B227F" w:rsidRDefault="001516F0" w:rsidP="001516F0">
      <w:pPr>
        <w:pStyle w:val="a3"/>
        <w:tabs>
          <w:tab w:val="left" w:pos="475"/>
          <w:tab w:val="left" w:pos="636"/>
        </w:tabs>
        <w:spacing w:before="0" w:beforeAutospacing="0" w:after="0" w:afterAutospacing="0"/>
        <w:ind w:firstLine="709"/>
        <w:jc w:val="both"/>
      </w:pPr>
      <w:r w:rsidRPr="000B227F">
        <w:t>Для целей выработки эффективных мер по противодействию финансовым пирамидам создана соответствующая межведомственная рабочая группа, в состав которой включены представители Генеральной прокуратуры, НБРК, Министерств внутренних дел, финансов, информации и общественного развития.</w:t>
      </w:r>
    </w:p>
    <w:p w14:paraId="35387201" w14:textId="77777777" w:rsidR="001516F0" w:rsidRPr="000B227F" w:rsidRDefault="001516F0" w:rsidP="001516F0">
      <w:pPr>
        <w:pStyle w:val="a3"/>
        <w:tabs>
          <w:tab w:val="left" w:pos="475"/>
          <w:tab w:val="left" w:pos="636"/>
        </w:tabs>
        <w:spacing w:before="0" w:beforeAutospacing="0" w:after="0" w:afterAutospacing="0"/>
        <w:ind w:firstLine="709"/>
        <w:jc w:val="both"/>
      </w:pPr>
      <w:r w:rsidRPr="000B227F">
        <w:t xml:space="preserve">Подписан Меморандум о сотрудничестве с Генеральной прокуратурой </w:t>
      </w:r>
      <w:r w:rsidRPr="000B227F">
        <w:rPr>
          <w:bCs/>
        </w:rPr>
        <w:t>Республики Казахстан</w:t>
      </w:r>
      <w:r w:rsidRPr="000B227F">
        <w:t>, Министерством внутренних дел</w:t>
      </w:r>
      <w:r w:rsidRPr="000B227F">
        <w:rPr>
          <w:bCs/>
        </w:rPr>
        <w:t xml:space="preserve"> Республики Казахстан</w:t>
      </w:r>
      <w:r w:rsidRPr="000B227F">
        <w:t xml:space="preserve">, Министерством информации и общественного развития </w:t>
      </w:r>
      <w:r w:rsidRPr="000B227F">
        <w:rPr>
          <w:bCs/>
        </w:rPr>
        <w:t>Республики Казахстан</w:t>
      </w:r>
      <w:r w:rsidRPr="000B227F">
        <w:t xml:space="preserve">, Комитетом по финансовому мониторингу Министерства финансов </w:t>
      </w:r>
      <w:r w:rsidRPr="000B227F">
        <w:rPr>
          <w:bCs/>
        </w:rPr>
        <w:t>Республики Казахстан</w:t>
      </w:r>
      <w:r w:rsidRPr="000B227F">
        <w:t xml:space="preserve"> и институтами гражданского общества (ОЮЛ «Ассоциация </w:t>
      </w:r>
      <w:proofErr w:type="spellStart"/>
      <w:r w:rsidRPr="000B227F">
        <w:t>микрофинансовых</w:t>
      </w:r>
      <w:proofErr w:type="spellEnd"/>
      <w:r w:rsidRPr="000B227F">
        <w:t xml:space="preserve"> организаций Казахстана», ОЮЛ «Ассоциация Национальная Лига Ломбардов Казахстана» и др.). </w:t>
      </w:r>
    </w:p>
    <w:p w14:paraId="517A719F" w14:textId="6739F7B0" w:rsidR="001516F0" w:rsidRPr="000B227F" w:rsidRDefault="001516F0" w:rsidP="001516F0">
      <w:pPr>
        <w:pStyle w:val="a3"/>
        <w:tabs>
          <w:tab w:val="left" w:pos="475"/>
          <w:tab w:val="left" w:pos="636"/>
        </w:tabs>
        <w:spacing w:before="0" w:beforeAutospacing="0" w:after="0" w:afterAutospacing="0"/>
        <w:ind w:firstLine="709"/>
        <w:jc w:val="both"/>
      </w:pPr>
      <w:r w:rsidRPr="000B227F">
        <w:t xml:space="preserve">В 2020 году Экспертным комитетом по рассмотрению вопросов признания сделок с ценными бумагами и иными финансовыми инструментами, как совершенных в целях манипулирования, было рассмотрено 11 соответствующих кейсов, из которых 1 был признан, как совершенный в целях манипулирования. </w:t>
      </w:r>
    </w:p>
    <w:p w14:paraId="6165B1C2"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r w:rsidRPr="000B227F">
        <w:rPr>
          <w:rFonts w:ascii="Times New Roman" w:hAnsi="Times New Roman" w:cs="Times New Roman"/>
          <w:sz w:val="24"/>
          <w:szCs w:val="24"/>
        </w:rPr>
        <w:t xml:space="preserve">В течение 2020 года 1 страховая организация систематически предоставляла в Агентство недостоверную отчетность о составе активов. </w:t>
      </w:r>
    </w:p>
    <w:p w14:paraId="156146E1"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rPr>
      </w:pPr>
    </w:p>
    <w:p w14:paraId="4FE8F2B0" w14:textId="77777777" w:rsidR="001516F0" w:rsidRPr="000B227F" w:rsidRDefault="001516F0" w:rsidP="001516F0">
      <w:pPr>
        <w:tabs>
          <w:tab w:val="left" w:pos="34"/>
        </w:tabs>
        <w:spacing w:after="0" w:line="240" w:lineRule="auto"/>
        <w:jc w:val="center"/>
        <w:rPr>
          <w:rFonts w:ascii="Times New Roman" w:hAnsi="Times New Roman" w:cs="Times New Roman"/>
          <w:b/>
          <w:sz w:val="24"/>
          <w:szCs w:val="24"/>
          <w:u w:val="single"/>
        </w:rPr>
      </w:pPr>
      <w:r w:rsidRPr="000B227F">
        <w:rPr>
          <w:rFonts w:ascii="Times New Roman" w:hAnsi="Times New Roman" w:cs="Times New Roman"/>
          <w:b/>
          <w:sz w:val="24"/>
          <w:szCs w:val="24"/>
          <w:u w:val="single"/>
        </w:rPr>
        <w:t>Стратегическое направление 5.</w:t>
      </w:r>
    </w:p>
    <w:p w14:paraId="36B338AF" w14:textId="77777777" w:rsidR="001516F0" w:rsidRPr="000B227F" w:rsidRDefault="001516F0" w:rsidP="001516F0">
      <w:pPr>
        <w:tabs>
          <w:tab w:val="left" w:pos="34"/>
        </w:tabs>
        <w:spacing w:after="0" w:line="240" w:lineRule="auto"/>
        <w:jc w:val="center"/>
        <w:rPr>
          <w:rFonts w:ascii="Times New Roman" w:hAnsi="Times New Roman" w:cs="Times New Roman"/>
          <w:b/>
          <w:sz w:val="24"/>
          <w:szCs w:val="24"/>
          <w:u w:val="single"/>
        </w:rPr>
      </w:pPr>
      <w:r w:rsidRPr="000B227F">
        <w:rPr>
          <w:rFonts w:ascii="Times New Roman" w:hAnsi="Times New Roman" w:cs="Times New Roman"/>
          <w:b/>
          <w:sz w:val="24"/>
          <w:szCs w:val="24"/>
          <w:u w:val="single"/>
        </w:rPr>
        <w:t xml:space="preserve">Применение новых технологий на финансовом рынке, </w:t>
      </w:r>
      <w:proofErr w:type="spellStart"/>
      <w:r w:rsidRPr="000B227F">
        <w:rPr>
          <w:rFonts w:ascii="Times New Roman" w:hAnsi="Times New Roman" w:cs="Times New Roman"/>
          <w:b/>
          <w:sz w:val="24"/>
          <w:szCs w:val="24"/>
          <w:u w:val="single"/>
        </w:rPr>
        <w:t>цифровизация</w:t>
      </w:r>
      <w:proofErr w:type="spellEnd"/>
      <w:r w:rsidRPr="000B227F">
        <w:rPr>
          <w:rFonts w:ascii="Times New Roman" w:hAnsi="Times New Roman" w:cs="Times New Roman"/>
          <w:b/>
          <w:sz w:val="24"/>
          <w:szCs w:val="24"/>
          <w:u w:val="single"/>
        </w:rPr>
        <w:t xml:space="preserve"> финансовых услуг</w:t>
      </w:r>
    </w:p>
    <w:p w14:paraId="149256E3" w14:textId="77777777" w:rsidR="001516F0" w:rsidRPr="000B227F" w:rsidRDefault="001516F0" w:rsidP="001516F0">
      <w:pPr>
        <w:tabs>
          <w:tab w:val="left" w:pos="34"/>
        </w:tabs>
        <w:spacing w:after="0" w:line="240" w:lineRule="auto"/>
        <w:jc w:val="center"/>
        <w:rPr>
          <w:rFonts w:ascii="Times New Roman" w:hAnsi="Times New Roman" w:cs="Times New Roman"/>
          <w:b/>
          <w:sz w:val="24"/>
          <w:szCs w:val="24"/>
          <w:u w:val="single"/>
        </w:rPr>
      </w:pPr>
    </w:p>
    <w:p w14:paraId="4D1BF69D" w14:textId="77777777" w:rsidR="001516F0" w:rsidRPr="000B227F" w:rsidRDefault="001516F0" w:rsidP="001516F0">
      <w:pPr>
        <w:tabs>
          <w:tab w:val="left" w:pos="34"/>
        </w:tabs>
        <w:spacing w:after="0" w:line="240" w:lineRule="auto"/>
        <w:ind w:firstLine="709"/>
        <w:jc w:val="both"/>
        <w:rPr>
          <w:rFonts w:ascii="Times New Roman" w:hAnsi="Times New Roman" w:cs="Times New Roman"/>
          <w:b/>
          <w:i/>
          <w:sz w:val="24"/>
          <w:szCs w:val="24"/>
          <w:u w:val="single"/>
        </w:rPr>
      </w:pPr>
      <w:r w:rsidRPr="000B227F">
        <w:rPr>
          <w:rFonts w:ascii="Times New Roman" w:hAnsi="Times New Roman" w:cs="Times New Roman"/>
          <w:b/>
          <w:i/>
          <w:sz w:val="24"/>
          <w:szCs w:val="24"/>
        </w:rPr>
        <w:t>Цель 5. Упрощение процедур идентификации клиентов</w:t>
      </w:r>
    </w:p>
    <w:p w14:paraId="44D0CF0F"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Несоответствие скорости появления и внедрения финансовых инноваций скорости процедур изменения регуляторной среды</w:t>
      </w:r>
    </w:p>
    <w:p w14:paraId="19A44D1D"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Ранжирование финансовых инноваций по степени угроз, планирование и расставление приоритетов по изменению регуляторной среды в соответствии с уровнями риска</w:t>
      </w:r>
    </w:p>
    <w:p w14:paraId="4F2F2322"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5E63A1C5" w14:textId="77777777" w:rsidR="001516F0" w:rsidRPr="000B227F" w:rsidRDefault="001516F0" w:rsidP="001516F0">
      <w:pPr>
        <w:pStyle w:val="a3"/>
        <w:tabs>
          <w:tab w:val="left" w:pos="475"/>
          <w:tab w:val="left" w:pos="636"/>
        </w:tabs>
        <w:spacing w:before="0" w:beforeAutospacing="0" w:after="0" w:afterAutospacing="0"/>
        <w:ind w:firstLine="709"/>
        <w:jc w:val="both"/>
      </w:pPr>
      <w:r w:rsidRPr="000B227F">
        <w:t xml:space="preserve">В отчетном периоде НБРК совместно с Агентством разработана Концепция по развитию финансовых технологий и инноваций на 2020-2025гг., утвержденная постановлением Правления НБРК от 17.08.2020г. № 101. </w:t>
      </w:r>
    </w:p>
    <w:p w14:paraId="2F41FB47" w14:textId="77777777" w:rsidR="001516F0" w:rsidRPr="000B227F" w:rsidRDefault="001516F0" w:rsidP="001516F0">
      <w:pPr>
        <w:pStyle w:val="a3"/>
        <w:tabs>
          <w:tab w:val="left" w:pos="475"/>
          <w:tab w:val="left" w:pos="636"/>
        </w:tabs>
        <w:spacing w:before="0" w:beforeAutospacing="0" w:after="0" w:afterAutospacing="0"/>
        <w:ind w:firstLine="709"/>
        <w:jc w:val="both"/>
      </w:pPr>
      <w:r w:rsidRPr="000B227F">
        <w:t xml:space="preserve">В целях координации работ по реализации цифровых проектов и ключевых инициатив Агентства в области финансовых технологий и инноваций создан Офис </w:t>
      </w:r>
      <w:proofErr w:type="spellStart"/>
      <w:r w:rsidRPr="000B227F">
        <w:t>цифровизации</w:t>
      </w:r>
      <w:proofErr w:type="spellEnd"/>
      <w:r w:rsidRPr="000B227F">
        <w:t xml:space="preserve"> Агентства, деятельность которого включает, в том числе, мероприятия по развитию удаленной идентификации, стимулированию развития </w:t>
      </w:r>
      <w:proofErr w:type="spellStart"/>
      <w:r w:rsidRPr="000B227F">
        <w:t>RegTech</w:t>
      </w:r>
      <w:proofErr w:type="spellEnd"/>
      <w:r w:rsidRPr="000B227F">
        <w:t xml:space="preserve"> сервисов и др.</w:t>
      </w:r>
    </w:p>
    <w:p w14:paraId="11519E2D"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Работа в данном направлении будет продолжаться в соответствии с Концепцией.</w:t>
      </w:r>
    </w:p>
    <w:p w14:paraId="032DCD7D"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p>
    <w:p w14:paraId="0F30DD2D" w14:textId="77777777" w:rsidR="001516F0" w:rsidRPr="000B227F" w:rsidRDefault="001516F0" w:rsidP="001516F0">
      <w:pPr>
        <w:spacing w:after="0" w:line="240" w:lineRule="auto"/>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Правовая неопределенность при внедрении новых финансовых технологий</w:t>
      </w:r>
    </w:p>
    <w:p w14:paraId="60A1B3A2" w14:textId="77777777" w:rsidR="001516F0" w:rsidRPr="000B227F" w:rsidRDefault="001516F0" w:rsidP="001516F0">
      <w:pPr>
        <w:tabs>
          <w:tab w:val="left" w:pos="34"/>
          <w:tab w:val="left" w:pos="346"/>
        </w:tabs>
        <w:ind w:firstLine="709"/>
        <w:contextualSpacing/>
        <w:jc w:val="both"/>
        <w:rPr>
          <w:rFonts w:ascii="Times New Roman" w:hAnsi="Times New Roman" w:cs="Times New Roman"/>
          <w:b/>
          <w:i/>
          <w:sz w:val="24"/>
          <w:szCs w:val="24"/>
        </w:rPr>
      </w:pPr>
      <w:r w:rsidRPr="000B227F">
        <w:rPr>
          <w:rFonts w:ascii="Times New Roman" w:hAnsi="Times New Roman" w:cs="Times New Roman"/>
          <w:b/>
          <w:i/>
          <w:sz w:val="24"/>
          <w:szCs w:val="24"/>
        </w:rPr>
        <w:t>Использование механизма «регуляторной песочницы»</w:t>
      </w:r>
    </w:p>
    <w:p w14:paraId="367525BE" w14:textId="77777777" w:rsidR="001516F0" w:rsidRPr="000B227F" w:rsidRDefault="001516F0" w:rsidP="001516F0">
      <w:pPr>
        <w:spacing w:after="0" w:line="240" w:lineRule="auto"/>
        <w:ind w:firstLine="709"/>
        <w:contextualSpacing/>
        <w:jc w:val="both"/>
        <w:rPr>
          <w:rFonts w:ascii="Times New Roman" w:hAnsi="Times New Roman" w:cs="Times New Roman"/>
          <w:b/>
          <w:bCs/>
          <w:i/>
          <w:sz w:val="24"/>
          <w:szCs w:val="24"/>
        </w:rPr>
      </w:pPr>
      <w:r w:rsidRPr="000B227F">
        <w:rPr>
          <w:rFonts w:ascii="Times New Roman" w:hAnsi="Times New Roman" w:cs="Times New Roman"/>
          <w:b/>
          <w:bCs/>
          <w:i/>
          <w:sz w:val="24"/>
          <w:szCs w:val="24"/>
        </w:rPr>
        <w:t>Мероприятия по управлению возможным риском:</w:t>
      </w:r>
    </w:p>
    <w:p w14:paraId="4735C656" w14:textId="77777777" w:rsidR="001516F0" w:rsidRPr="000B227F" w:rsidRDefault="001516F0" w:rsidP="001516F0">
      <w:pPr>
        <w:pStyle w:val="a3"/>
        <w:tabs>
          <w:tab w:val="left" w:pos="475"/>
          <w:tab w:val="left" w:pos="636"/>
        </w:tabs>
        <w:spacing w:before="0" w:beforeAutospacing="0" w:after="0" w:afterAutospacing="0"/>
        <w:ind w:firstLine="709"/>
        <w:jc w:val="both"/>
      </w:pPr>
      <w:r w:rsidRPr="000B227F">
        <w:t xml:space="preserve">В отчетном периоде НБРК совместно с Агентством разработана Концепция по развитию финансовых технологий и инноваций на 2020-2025гг., утвержденная постановлением Правления НБРК от 17.08.2020г. № 101. </w:t>
      </w:r>
    </w:p>
    <w:p w14:paraId="7506A2B0" w14:textId="77777777" w:rsidR="001516F0" w:rsidRPr="000B227F" w:rsidRDefault="001516F0" w:rsidP="001516F0">
      <w:pPr>
        <w:pStyle w:val="a3"/>
        <w:tabs>
          <w:tab w:val="left" w:pos="475"/>
          <w:tab w:val="left" w:pos="636"/>
        </w:tabs>
        <w:spacing w:before="0" w:beforeAutospacing="0" w:after="0" w:afterAutospacing="0"/>
        <w:ind w:firstLine="709"/>
        <w:jc w:val="both"/>
      </w:pPr>
      <w:r w:rsidRPr="000B227F">
        <w:lastRenderedPageBreak/>
        <w:t xml:space="preserve">В целях координации работ по реализации цифровых проектов и ключевых инициатив Агентства в области финансовых технологий и инноваций создан Офис </w:t>
      </w:r>
      <w:proofErr w:type="spellStart"/>
      <w:r w:rsidRPr="000B227F">
        <w:t>цифровизации</w:t>
      </w:r>
      <w:proofErr w:type="spellEnd"/>
      <w:r w:rsidRPr="000B227F">
        <w:t xml:space="preserve"> Агентства, работа которого охватывает, в том числе вопросы развития «регуляторных песочниц», оптимизации процедур работы «регуляторных песочниц».</w:t>
      </w:r>
    </w:p>
    <w:p w14:paraId="1A9C24CA"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Работа в данном направлении будет продолжаться в соответствии с Концепцией.</w:t>
      </w:r>
    </w:p>
    <w:p w14:paraId="733C0DC1"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p>
    <w:p w14:paraId="61E8A40A"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jc w:val="center"/>
        <w:rPr>
          <w:b/>
          <w:u w:val="single"/>
        </w:rPr>
      </w:pPr>
      <w:r w:rsidRPr="000B227F">
        <w:rPr>
          <w:b/>
          <w:u w:val="single"/>
        </w:rPr>
        <w:t>Стратегическое направление 6.</w:t>
      </w:r>
    </w:p>
    <w:p w14:paraId="34EA0872"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jc w:val="center"/>
        <w:rPr>
          <w:b/>
          <w:u w:val="single"/>
        </w:rPr>
      </w:pPr>
      <w:r w:rsidRPr="000B227F">
        <w:rPr>
          <w:b/>
          <w:u w:val="single"/>
        </w:rPr>
        <w:t>Развитие системы микрофинансирования</w:t>
      </w:r>
    </w:p>
    <w:p w14:paraId="1152DE13"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331E3E85"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bCs/>
          <w:i/>
          <w:iCs/>
        </w:rPr>
      </w:pPr>
      <w:r w:rsidRPr="000B227F">
        <w:rPr>
          <w:b/>
          <w:i/>
        </w:rPr>
        <w:t xml:space="preserve">Цель 6. Совершенствование регулирования </w:t>
      </w:r>
      <w:r w:rsidRPr="000B227F">
        <w:rPr>
          <w:b/>
          <w:bCs/>
          <w:i/>
          <w:iCs/>
        </w:rPr>
        <w:t xml:space="preserve">организаций, осуществляющих </w:t>
      </w:r>
      <w:proofErr w:type="spellStart"/>
      <w:r w:rsidRPr="000B227F">
        <w:rPr>
          <w:b/>
          <w:bCs/>
          <w:i/>
          <w:iCs/>
        </w:rPr>
        <w:t>микрофинансовую</w:t>
      </w:r>
      <w:proofErr w:type="spellEnd"/>
      <w:r w:rsidRPr="000B227F">
        <w:rPr>
          <w:b/>
          <w:bCs/>
          <w:i/>
          <w:iCs/>
        </w:rPr>
        <w:t xml:space="preserve"> деятельность</w:t>
      </w:r>
    </w:p>
    <w:p w14:paraId="2A512FF6"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iCs/>
          <w:lang w:eastAsia="ar-SA"/>
        </w:rPr>
      </w:pPr>
      <w:r w:rsidRPr="000B227F">
        <w:rPr>
          <w:b/>
          <w:i/>
        </w:rPr>
        <w:t xml:space="preserve">Формирование «теневого рынка» кредитования, из числа нерегулируемых организаций, не прошедших </w:t>
      </w:r>
      <w:r w:rsidRPr="000B227F">
        <w:rPr>
          <w:b/>
          <w:i/>
          <w:iCs/>
          <w:lang w:eastAsia="ar-SA"/>
        </w:rPr>
        <w:t xml:space="preserve">государственную перерегистрацию в качестве </w:t>
      </w:r>
      <w:proofErr w:type="spellStart"/>
      <w:r w:rsidRPr="000B227F">
        <w:rPr>
          <w:b/>
          <w:i/>
          <w:iCs/>
          <w:lang w:eastAsia="ar-SA"/>
        </w:rPr>
        <w:t>микрофинансовой</w:t>
      </w:r>
      <w:proofErr w:type="spellEnd"/>
      <w:r w:rsidRPr="000B227F">
        <w:rPr>
          <w:b/>
          <w:i/>
          <w:iCs/>
          <w:lang w:eastAsia="ar-SA"/>
        </w:rPr>
        <w:t xml:space="preserve"> организации, кредитного товарищества, ломбарда, а также учетную регистрацию в уполномоченном органе</w:t>
      </w:r>
    </w:p>
    <w:p w14:paraId="07A9BA53"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Принятие мер для выявления и пресечения деятельности «теневого рынка» кредитования</w:t>
      </w:r>
    </w:p>
    <w:p w14:paraId="155DC059"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bCs/>
          <w:i/>
        </w:rPr>
      </w:pPr>
      <w:r w:rsidRPr="000B227F">
        <w:rPr>
          <w:b/>
          <w:bCs/>
          <w:i/>
        </w:rPr>
        <w:t>Мероприятия по управлению возможным риском:</w:t>
      </w:r>
    </w:p>
    <w:p w14:paraId="48A8C0AB"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С целью упорядочения деятельности на рынке микрокредитования и определения четкого правового поля для осуществления деятельности на нем с 1 января 2020 года в периметр регулирования Агентства введены все </w:t>
      </w:r>
      <w:proofErr w:type="spellStart"/>
      <w:r w:rsidRPr="000B227F">
        <w:t>микрофинансовые</w:t>
      </w:r>
      <w:proofErr w:type="spellEnd"/>
      <w:r w:rsidRPr="000B227F">
        <w:t xml:space="preserve"> организации, предоставляющие займы населению, а также проведена их учетная регистрация.</w:t>
      </w:r>
    </w:p>
    <w:p w14:paraId="0CF42BA7"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В период с апреля по август 2020 года проведена проверка деятельности 1,3 тыс. ломбардов, компаний онлайн-кредитования и МФО на предмет наличия признаков финансовой пирамиды, мошенничества и незаконной банковской деятельности, по результатам которой в отношении 144 организаций наложены штрафы и вынесены </w:t>
      </w:r>
      <w:r w:rsidRPr="000B227F">
        <w:br/>
        <w:t>122 письменных предписания.</w:t>
      </w:r>
    </w:p>
    <w:p w14:paraId="0E3B5CBE"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С 1 января 2021 года введено лицензирование деятельности всех </w:t>
      </w:r>
      <w:proofErr w:type="spellStart"/>
      <w:r w:rsidRPr="000B227F">
        <w:t>микрофинансовых</w:t>
      </w:r>
      <w:proofErr w:type="spellEnd"/>
      <w:r w:rsidRPr="000B227F">
        <w:t xml:space="preserve"> организаций.  </w:t>
      </w:r>
    </w:p>
    <w:p w14:paraId="1661ABE9"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Утверждены Правила лицензирования </w:t>
      </w:r>
      <w:proofErr w:type="spellStart"/>
      <w:r w:rsidRPr="000B227F">
        <w:t>микрофинансовой</w:t>
      </w:r>
      <w:proofErr w:type="spellEnd"/>
      <w:r w:rsidRPr="000B227F">
        <w:t xml:space="preserve"> деятельности, квалификационные требования на осуществление </w:t>
      </w:r>
      <w:proofErr w:type="spellStart"/>
      <w:r w:rsidRPr="000B227F">
        <w:t>микрофинансовой</w:t>
      </w:r>
      <w:proofErr w:type="spellEnd"/>
      <w:r w:rsidRPr="000B227F">
        <w:t xml:space="preserve"> деятельности. </w:t>
      </w:r>
    </w:p>
    <w:p w14:paraId="3C0CB6AD"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Для обеспечения устойчивости субъектов повышены </w:t>
      </w:r>
      <w:proofErr w:type="spellStart"/>
      <w:r w:rsidRPr="000B227F">
        <w:t>пруденциальные</w:t>
      </w:r>
      <w:proofErr w:type="spellEnd"/>
      <w:r w:rsidRPr="000B227F">
        <w:t xml:space="preserve"> стандарты по минимальному размеру капитала (для МФО с 30 млн. тенге до 100 млн. тенге, для ломбардов с 10 млн. тенге до 70 млн. тенге, для КТ с 10 млн. тенге до 50 млн. тенге).</w:t>
      </w:r>
    </w:p>
    <w:p w14:paraId="4EC8EB0E"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Введены повышенные требования к крупным участникам и руководящим работникам организаций, осуществляющих </w:t>
      </w:r>
      <w:proofErr w:type="spellStart"/>
      <w:r w:rsidRPr="000B227F">
        <w:t>микрофинансовую</w:t>
      </w:r>
      <w:proofErr w:type="spellEnd"/>
      <w:r w:rsidRPr="000B227F">
        <w:t xml:space="preserve"> деятельность.</w:t>
      </w:r>
    </w:p>
    <w:p w14:paraId="0CEE5A9F"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По состоянию на 01.01.2021г. прошли учетную регистрацию 1 110 организаций, осуществляющих </w:t>
      </w:r>
      <w:proofErr w:type="spellStart"/>
      <w:r w:rsidRPr="000B227F">
        <w:t>микрофинансовую</w:t>
      </w:r>
      <w:proofErr w:type="spellEnd"/>
      <w:r w:rsidRPr="000B227F">
        <w:t xml:space="preserve"> деятельность.</w:t>
      </w:r>
    </w:p>
    <w:p w14:paraId="2F1733C5"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p>
    <w:p w14:paraId="2829D446"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jc w:val="center"/>
        <w:rPr>
          <w:b/>
          <w:u w:val="single"/>
        </w:rPr>
      </w:pPr>
      <w:r w:rsidRPr="000B227F">
        <w:rPr>
          <w:b/>
          <w:u w:val="single"/>
        </w:rPr>
        <w:t>Стратегическое направление 7.</w:t>
      </w:r>
    </w:p>
    <w:p w14:paraId="67C154BF"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jc w:val="center"/>
        <w:rPr>
          <w:b/>
          <w:u w:val="single"/>
        </w:rPr>
      </w:pPr>
      <w:proofErr w:type="spellStart"/>
      <w:r w:rsidRPr="000B227F">
        <w:rPr>
          <w:b/>
          <w:u w:val="single"/>
        </w:rPr>
        <w:t>Кибербезопасность</w:t>
      </w:r>
      <w:proofErr w:type="spellEnd"/>
    </w:p>
    <w:p w14:paraId="7EDD22FC"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center"/>
        <w:rPr>
          <w:b/>
          <w:u w:val="single"/>
        </w:rPr>
      </w:pPr>
    </w:p>
    <w:p w14:paraId="04942A91"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Цель 7. Совершенствование взаимодействия в области информационной безопасности в глобальном масштабе</w:t>
      </w:r>
    </w:p>
    <w:p w14:paraId="4331AA75"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Несоответствие организационной структуры задачам, стоящим перед подразделением</w:t>
      </w:r>
    </w:p>
    <w:p w14:paraId="636523AB"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Ежегодный пересмотр организационной структуры направления ИБ</w:t>
      </w:r>
    </w:p>
    <w:p w14:paraId="3A1636CE"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bCs/>
          <w:i/>
        </w:rPr>
      </w:pPr>
      <w:r w:rsidRPr="000B227F">
        <w:rPr>
          <w:b/>
          <w:bCs/>
          <w:i/>
        </w:rPr>
        <w:t>Мероприятия по управлению возможным риском:</w:t>
      </w:r>
    </w:p>
    <w:p w14:paraId="014154F5"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Организован Отраслевой центр информационной безопасности (ИБ), в рамках которого, обработано в 5 раз больше сообщений об инцидентах ИБ (по сравнению </w:t>
      </w:r>
      <w:r w:rsidRPr="000B227F">
        <w:br/>
        <w:t xml:space="preserve">с 2019 годом), количество рассылаемых предупреждений и рекомендаций по угрозам ИБ </w:t>
      </w:r>
      <w:r w:rsidRPr="000B227F">
        <w:lastRenderedPageBreak/>
        <w:t xml:space="preserve">увеличено в 3 раза (по сравнению с 2019 годом), заблокировано 18 мошеннических интернет ресурсов. </w:t>
      </w:r>
    </w:p>
    <w:p w14:paraId="4264DF7F"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Заключены соглашения о сотрудничестве в области обеспечения информационной безопасности на международном уровне с Центральным банком Армении и Национальным банком Кыргызстана. </w:t>
      </w:r>
    </w:p>
    <w:p w14:paraId="32DED039" w14:textId="77777777" w:rsidR="001516F0" w:rsidRPr="000B227F" w:rsidRDefault="001516F0" w:rsidP="001516F0">
      <w:pPr>
        <w:pStyle w:val="a3"/>
        <w:widowControl w:val="0"/>
        <w:pBdr>
          <w:bottom w:val="single" w:sz="4" w:space="29" w:color="FFFFFF"/>
        </w:pBdr>
        <w:tabs>
          <w:tab w:val="left" w:pos="475"/>
          <w:tab w:val="left" w:pos="636"/>
        </w:tabs>
        <w:spacing w:before="0" w:beforeAutospacing="0" w:after="0" w:afterAutospacing="0"/>
        <w:ind w:firstLine="709"/>
        <w:jc w:val="both"/>
      </w:pPr>
      <w:r w:rsidRPr="000B227F">
        <w:t>Агентство прошло регистрацию в качестве полноправного участника FIRST (Международный форум групп реагирования на инциденты и безопасности).</w:t>
      </w:r>
    </w:p>
    <w:p w14:paraId="28E6EBC8"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3DF01FAA"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Недостаточность активов для достижения поставленных целей</w:t>
      </w:r>
    </w:p>
    <w:p w14:paraId="3FFB8597"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Инициатива по выделению достаточных средств на приобретение технологий, знаний, организацию внешних связей и мотивацию персонала</w:t>
      </w:r>
    </w:p>
    <w:p w14:paraId="2F40BA9D"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bCs/>
          <w:i/>
        </w:rPr>
      </w:pPr>
      <w:r w:rsidRPr="000B227F">
        <w:rPr>
          <w:b/>
          <w:bCs/>
          <w:i/>
        </w:rPr>
        <w:t>Мероприятия по управлению возможным риском:</w:t>
      </w:r>
    </w:p>
    <w:p w14:paraId="6143DAD2"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 xml:space="preserve">Средства выделялись в полном объеме, все запланированные и утвержденные закупки новых систем обеспечения информационной безопасности (в </w:t>
      </w:r>
      <w:proofErr w:type="spellStart"/>
      <w:r w:rsidRPr="000B227F">
        <w:t>т.ч</w:t>
      </w:r>
      <w:proofErr w:type="spellEnd"/>
      <w:r w:rsidRPr="000B227F">
        <w:t>. для организации лаборатории ФИНЦЕРТ), а также закупки технической поддержки на имеющиеся системы произведены в 2020 году.</w:t>
      </w:r>
    </w:p>
    <w:p w14:paraId="032E9691"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2D52D7D9"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Недостаточная скорость исполнения задач, обусловленная внешними факторами</w:t>
      </w:r>
    </w:p>
    <w:p w14:paraId="5E2F68E3"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Поиск решений по повышению скорости утверждения норм. Например, переход к регулированию через стандарты финансовых организаций</w:t>
      </w:r>
    </w:p>
    <w:p w14:paraId="5BD7C120"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В 2020 году разработан и утвержден ряд нормативных правовых актов в</w:t>
      </w:r>
      <w:r w:rsidRPr="000B227F">
        <w:rPr>
          <w:sz w:val="28"/>
          <w:szCs w:val="28"/>
        </w:rPr>
        <w:t xml:space="preserve"> </w:t>
      </w:r>
      <w:r w:rsidRPr="000B227F">
        <w:t xml:space="preserve">области информационной и </w:t>
      </w:r>
      <w:proofErr w:type="spellStart"/>
      <w:r w:rsidRPr="000B227F">
        <w:t>кибербезопасности</w:t>
      </w:r>
      <w:proofErr w:type="spellEnd"/>
      <w:r w:rsidRPr="000B227F">
        <w:t xml:space="preserve"> на финансовом рынке. Совместным постановлением Агентства и НБРК № 69 и № 89 утверждена Стратегия </w:t>
      </w:r>
      <w:proofErr w:type="spellStart"/>
      <w:r w:rsidRPr="000B227F">
        <w:t>кибербезопасности</w:t>
      </w:r>
      <w:proofErr w:type="spellEnd"/>
      <w:r w:rsidRPr="000B227F">
        <w:t xml:space="preserve"> финансового сектора Республики Казахстан на 2020-2022 годы.</w:t>
      </w:r>
    </w:p>
    <w:p w14:paraId="7F18E1B5"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В целях актуализации норм права в отчетном периоде внесены изменения и дополнения в 2 нормативных правовых акта.</w:t>
      </w:r>
    </w:p>
    <w:p w14:paraId="7897CAF8"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p>
    <w:p w14:paraId="725293C9"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jc w:val="center"/>
        <w:rPr>
          <w:b/>
          <w:u w:val="single"/>
        </w:rPr>
      </w:pPr>
      <w:r w:rsidRPr="000B227F">
        <w:rPr>
          <w:b/>
          <w:u w:val="single"/>
        </w:rPr>
        <w:t>Стратегическое направление 8.</w:t>
      </w:r>
    </w:p>
    <w:p w14:paraId="64FC846C"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jc w:val="center"/>
        <w:rPr>
          <w:b/>
          <w:u w:val="single"/>
        </w:rPr>
      </w:pPr>
      <w:r w:rsidRPr="000B227F">
        <w:rPr>
          <w:b/>
          <w:u w:val="single"/>
        </w:rPr>
        <w:t>Противодействие отмыванию денег и финансированию терроризма</w:t>
      </w:r>
    </w:p>
    <w:p w14:paraId="46710D8F"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jc w:val="center"/>
        <w:rPr>
          <w:b/>
          <w:u w:val="single"/>
        </w:rPr>
      </w:pPr>
    </w:p>
    <w:p w14:paraId="7A21F71F"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Цель 8. Снижение уровня риска отмывания денег и финансирования терроризма в финансовом секторе</w:t>
      </w:r>
    </w:p>
    <w:p w14:paraId="041247BE"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 xml:space="preserve">Неэффективность принятых банками мер по снижению уровня </w:t>
      </w:r>
      <w:proofErr w:type="spellStart"/>
      <w:r w:rsidRPr="000B227F">
        <w:rPr>
          <w:b/>
          <w:i/>
        </w:rPr>
        <w:t>обналичивания</w:t>
      </w:r>
      <w:proofErr w:type="spellEnd"/>
      <w:r w:rsidRPr="000B227F">
        <w:rPr>
          <w:b/>
          <w:i/>
        </w:rPr>
        <w:t xml:space="preserve"> денег</w:t>
      </w:r>
    </w:p>
    <w:p w14:paraId="4C56F1A8"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t>Проработка мероприятий по выработке механизмов перехода на безналичные платежи</w:t>
      </w:r>
    </w:p>
    <w:p w14:paraId="3E818542"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bCs/>
          <w:i/>
        </w:rPr>
      </w:pPr>
      <w:r w:rsidRPr="000B227F">
        <w:rPr>
          <w:b/>
          <w:bCs/>
          <w:i/>
        </w:rPr>
        <w:t>Мероприятия по управлению возможным риском:</w:t>
      </w:r>
    </w:p>
    <w:p w14:paraId="09E21CE8"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1. Приняты совместные постановления Агентства, НБРК и Правительства, регламентирующие вопросы снятия юридическими лицами наличных денег с банковских счетов, снятия наличных денег сверх установленных предельных размеров.</w:t>
      </w:r>
    </w:p>
    <w:p w14:paraId="427BA149"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r w:rsidRPr="000B227F">
        <w:t>2. Законом о ВЭР приняты нормы, наделяющие Агентство полномочиями по установлению предельных сумм для снятия наличных денег с банковских счетов субъектов предпринимательства, а также порядка снятия субъектами предпринимательства наличных денег с банковских счетов, в том числе сверх установленных предельных сумм.</w:t>
      </w:r>
    </w:p>
    <w:p w14:paraId="1BE73F6B"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pPr>
    </w:p>
    <w:p w14:paraId="1178B3CE"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5E96A7B2"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54AC4AE7"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70C267B1"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6D10E117"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3B982FDC"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p>
    <w:p w14:paraId="5870D22D"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i/>
        </w:rPr>
        <w:lastRenderedPageBreak/>
        <w:t>Неверное толкование и исполнение требований по ПОД/ФТ субъектами финансового мониторинга</w:t>
      </w:r>
    </w:p>
    <w:p w14:paraId="7B3BFE95"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i/>
        </w:rPr>
      </w:pPr>
      <w:r w:rsidRPr="000B227F">
        <w:rPr>
          <w:b/>
          <w:bCs/>
          <w:i/>
        </w:rPr>
        <w:t>Принятие мер надзорного реагирования вплоть до приостановления/лишения лицензии</w:t>
      </w:r>
    </w:p>
    <w:p w14:paraId="47A28C18"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bCs/>
          <w:i/>
        </w:rPr>
      </w:pPr>
      <w:r w:rsidRPr="000B227F">
        <w:rPr>
          <w:b/>
          <w:bCs/>
          <w:i/>
        </w:rPr>
        <w:t>Мероприятия по управлению возможным риском:</w:t>
      </w:r>
    </w:p>
    <w:p w14:paraId="41E55933"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b/>
          <w:bCs/>
          <w:i/>
        </w:rPr>
      </w:pPr>
      <w:r w:rsidRPr="000B227F">
        <w:rPr>
          <w:rFonts w:eastAsia="Calibri"/>
        </w:rPr>
        <w:t xml:space="preserve">По фактам нарушений законодательства по ПОД/ФТ применены следующие меры надзорного реагирования: </w:t>
      </w:r>
    </w:p>
    <w:p w14:paraId="169BC342"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rFonts w:eastAsia="Calibri"/>
        </w:rPr>
      </w:pPr>
      <w:r w:rsidRPr="000B227F">
        <w:rPr>
          <w:rFonts w:eastAsia="Calibri"/>
        </w:rPr>
        <w:t xml:space="preserve">- в отношении банков составлено 689 протоколов об административном правонарушении, наложены штрафы на сумму 76,5 млн. тенге; </w:t>
      </w:r>
    </w:p>
    <w:p w14:paraId="709E8A9F"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rFonts w:eastAsia="Calibri"/>
        </w:rPr>
      </w:pPr>
      <w:r w:rsidRPr="000B227F">
        <w:rPr>
          <w:rFonts w:eastAsia="Calibri"/>
        </w:rPr>
        <w:t>- в отношении профессиональных участников рынка ценных бумаг составлено 4 протокола и наложены штрафы на сумму 2 млн. тенге;</w:t>
      </w:r>
    </w:p>
    <w:p w14:paraId="0D38F930" w14:textId="77777777" w:rsidR="001516F0" w:rsidRPr="000B227F" w:rsidRDefault="001516F0" w:rsidP="001516F0">
      <w:pPr>
        <w:pStyle w:val="a3"/>
        <w:pBdr>
          <w:bottom w:val="single" w:sz="4" w:space="29" w:color="FFFFFF"/>
        </w:pBdr>
        <w:tabs>
          <w:tab w:val="left" w:pos="475"/>
          <w:tab w:val="left" w:pos="636"/>
        </w:tabs>
        <w:spacing w:before="0" w:beforeAutospacing="0" w:after="0" w:afterAutospacing="0"/>
        <w:ind w:firstLine="709"/>
        <w:jc w:val="both"/>
        <w:rPr>
          <w:rFonts w:eastAsia="Calibri"/>
        </w:rPr>
      </w:pPr>
      <w:r w:rsidRPr="000B227F">
        <w:rPr>
          <w:rFonts w:eastAsia="Calibri"/>
        </w:rPr>
        <w:t>- в отношении страховых организаций составлено 37 протоколов об административном правонарушении, наложены штрафы на сумму 23 млн. тенге.</w:t>
      </w:r>
    </w:p>
    <w:p w14:paraId="5DBC70FD" w14:textId="77777777" w:rsidR="001516F0" w:rsidRPr="000B227F" w:rsidRDefault="001516F0" w:rsidP="001516F0">
      <w:pPr>
        <w:spacing w:after="0" w:line="240" w:lineRule="auto"/>
        <w:contextualSpacing/>
        <w:jc w:val="center"/>
        <w:rPr>
          <w:rFonts w:ascii="Times New Roman" w:hAnsi="Times New Roman" w:cs="Times New Roman"/>
          <w:b/>
          <w:sz w:val="24"/>
          <w:szCs w:val="24"/>
        </w:rPr>
      </w:pPr>
      <w:r w:rsidRPr="000B227F">
        <w:rPr>
          <w:rFonts w:ascii="Times New Roman" w:hAnsi="Times New Roman" w:cs="Times New Roman"/>
          <w:b/>
          <w:sz w:val="24"/>
          <w:szCs w:val="24"/>
        </w:rPr>
        <w:t>Раздел 2. Достижение целей и целевых индикаторов</w:t>
      </w:r>
    </w:p>
    <w:p w14:paraId="21478FD9" w14:textId="77777777" w:rsidR="001516F0" w:rsidRPr="000B227F" w:rsidRDefault="001516F0" w:rsidP="001516F0">
      <w:pPr>
        <w:spacing w:after="0" w:line="240" w:lineRule="auto"/>
        <w:contextualSpacing/>
        <w:jc w:val="center"/>
        <w:rPr>
          <w:rFonts w:ascii="Times New Roman" w:hAnsi="Times New Roman" w:cs="Times New Roman"/>
          <w:b/>
          <w:sz w:val="24"/>
          <w:szCs w:val="24"/>
          <w:u w:val="single"/>
        </w:rPr>
      </w:pPr>
    </w:p>
    <w:p w14:paraId="51664DED"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1.</w:t>
      </w:r>
    </w:p>
    <w:p w14:paraId="5CC84B9F"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Обеспечение стабильности финансового рынка</w:t>
      </w:r>
    </w:p>
    <w:p w14:paraId="0B09FA64"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b/>
          <w:i/>
          <w:sz w:val="24"/>
          <w:szCs w:val="24"/>
        </w:rPr>
      </w:pPr>
    </w:p>
    <w:p w14:paraId="18D789D3"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1. Повышение уровня финансовой устойчивости финансовых организаций</w:t>
      </w:r>
    </w:p>
    <w:p w14:paraId="1FCF1FAC" w14:textId="0A1D50EF"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 xml:space="preserve">Целевой индикатор 1: Достаточность собственного капитала банков (К2) – </w:t>
      </w:r>
      <w:r w:rsidR="000B227F">
        <w:rPr>
          <w:rFonts w:ascii="Times New Roman" w:eastAsia="Calibri" w:hAnsi="Times New Roman" w:cs="Times New Roman"/>
          <w:b/>
          <w:i/>
          <w:sz w:val="24"/>
          <w:szCs w:val="24"/>
        </w:rPr>
        <w:br/>
      </w:r>
      <w:r w:rsidRPr="000B227F">
        <w:rPr>
          <w:rFonts w:ascii="Times New Roman" w:eastAsia="Calibri" w:hAnsi="Times New Roman" w:cs="Times New Roman"/>
          <w:b/>
          <w:i/>
          <w:sz w:val="24"/>
          <w:szCs w:val="24"/>
        </w:rPr>
        <w:t xml:space="preserve">не менее 10% </w:t>
      </w:r>
      <w:r w:rsidRPr="000B227F">
        <w:rPr>
          <w:rFonts w:ascii="Times New Roman" w:eastAsia="Calibri" w:hAnsi="Times New Roman" w:cs="Times New Roman"/>
          <w:i/>
          <w:sz w:val="24"/>
          <w:szCs w:val="24"/>
        </w:rPr>
        <w:t>(по состоянию на 01.01.2021г. – 27%)</w:t>
      </w:r>
    </w:p>
    <w:p w14:paraId="67FECFEA"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Мероприятия для достижения целевого индикатора:</w:t>
      </w:r>
    </w:p>
    <w:p w14:paraId="357B3A52" w14:textId="77777777" w:rsidR="001516F0" w:rsidRPr="000B227F" w:rsidRDefault="001516F0" w:rsidP="001516F0">
      <w:pPr>
        <w:spacing w:after="0" w:line="240" w:lineRule="auto"/>
        <w:ind w:firstLine="709"/>
        <w:contextualSpacing/>
        <w:jc w:val="both"/>
        <w:rPr>
          <w:rFonts w:ascii="Times New Roman" w:eastAsia="Calibri" w:hAnsi="Times New Roman" w:cs="Times New Roman"/>
          <w:bCs/>
          <w:i/>
          <w:iCs/>
          <w:sz w:val="24"/>
          <w:szCs w:val="24"/>
        </w:rPr>
      </w:pPr>
      <w:r w:rsidRPr="000B227F">
        <w:rPr>
          <w:rFonts w:ascii="Times New Roman" w:hAnsi="Times New Roman" w:cs="Times New Roman"/>
          <w:sz w:val="24"/>
          <w:szCs w:val="24"/>
        </w:rPr>
        <w:t>Подробная информация указана в разделе «Разработка регуляторных стимулов и устранение барьеров для развития рынка корпоративного кредитования».</w:t>
      </w:r>
    </w:p>
    <w:p w14:paraId="53792E5C"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p>
    <w:p w14:paraId="6AF45FB4" w14:textId="77777777"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Целевой индикатор 2:</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Доля займов с просрочкой платежа по основному долгу и/или вознаграждению сроком более 90 дней в ссудном портфеле банков – не более 10% </w:t>
      </w:r>
      <w:r w:rsidRPr="000B227F">
        <w:rPr>
          <w:rFonts w:ascii="Times New Roman" w:eastAsia="Calibri" w:hAnsi="Times New Roman" w:cs="Times New Roman"/>
          <w:i/>
          <w:sz w:val="24"/>
          <w:szCs w:val="24"/>
        </w:rPr>
        <w:t>(по состоянию на 01.01.2021г. – 6,8%)</w:t>
      </w:r>
    </w:p>
    <w:p w14:paraId="3C0865E4" w14:textId="77777777" w:rsidR="001516F0" w:rsidRPr="000B227F" w:rsidRDefault="001516F0" w:rsidP="001516F0">
      <w:pPr>
        <w:tabs>
          <w:tab w:val="left" w:pos="7905"/>
        </w:tabs>
        <w:spacing w:after="0" w:line="240" w:lineRule="auto"/>
        <w:ind w:firstLine="709"/>
        <w:contextualSpacing/>
        <w:jc w:val="both"/>
        <w:rPr>
          <w:rFonts w:ascii="Times New Roman" w:eastAsia="Calibri" w:hAnsi="Times New Roman" w:cs="Times New Roman"/>
          <w:b/>
          <w:i/>
          <w:sz w:val="24"/>
          <w:szCs w:val="24"/>
        </w:rPr>
      </w:pPr>
      <w:r w:rsidRPr="000B227F">
        <w:rPr>
          <w:rFonts w:ascii="Times New Roman" w:eastAsia="Calibri" w:hAnsi="Times New Roman" w:cs="Times New Roman"/>
          <w:b/>
          <w:i/>
          <w:sz w:val="24"/>
          <w:szCs w:val="24"/>
        </w:rPr>
        <w:t>Мероприятия для достижения целевого индикатора:</w:t>
      </w:r>
    </w:p>
    <w:p w14:paraId="2939AC14" w14:textId="77777777" w:rsidR="001516F0" w:rsidRPr="000B227F" w:rsidRDefault="001516F0" w:rsidP="001516F0">
      <w:pPr>
        <w:spacing w:after="0" w:line="240" w:lineRule="auto"/>
        <w:ind w:firstLine="709"/>
        <w:rPr>
          <w:rFonts w:ascii="Times New Roman" w:eastAsia="Times New Roman" w:hAnsi="Times New Roman" w:cs="Times New Roman"/>
          <w:i/>
          <w:sz w:val="24"/>
          <w:szCs w:val="24"/>
          <w:lang w:eastAsia="ru-RU"/>
        </w:rPr>
      </w:pPr>
      <w:r w:rsidRPr="000B227F">
        <w:rPr>
          <w:rFonts w:ascii="Times New Roman" w:eastAsia="Times New Roman" w:hAnsi="Times New Roman" w:cs="Times New Roman"/>
          <w:i/>
          <w:sz w:val="24"/>
          <w:szCs w:val="24"/>
          <w:lang w:eastAsia="ru-RU"/>
        </w:rPr>
        <w:t>Меры по снижению неработающих активов</w:t>
      </w:r>
    </w:p>
    <w:p w14:paraId="248B4359"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В отчетном периоде Агентством в рамках мер раннего реагирования осуществлялся мониторинг уровня неработающих займов (NPL) с целью недопущения их превышения 10% ссудного портфеля (как фактора, влияющего на ухудшение финансового положения банка). </w:t>
      </w:r>
    </w:p>
    <w:p w14:paraId="0DA37D22"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Совместно с банками проведены работы по разработке и согласованию </w:t>
      </w:r>
      <w:r w:rsidRPr="000B227F">
        <w:rPr>
          <w:rFonts w:ascii="Times New Roman" w:eastAsia="Times New Roman" w:hAnsi="Times New Roman" w:cs="Times New Roman"/>
          <w:sz w:val="24"/>
          <w:szCs w:val="24"/>
          <w:lang w:eastAsia="ru-RU"/>
        </w:rPr>
        <w:br/>
        <w:t>17 индивидуальных планов мероприятий по снижению уровня (реализации) неработающих активов в течение 5-летнего срока с определением ответственных руководящих работников банков за неисполнение планов мероприятий.</w:t>
      </w:r>
    </w:p>
    <w:p w14:paraId="540445FC"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Согласно планам мероприятий, в течение пятилетнего периода планируется снижение стрессовых активов с 9,3% от активов банковской системы до 2,5% от активов банковской системы к началу 2026 года.</w:t>
      </w:r>
    </w:p>
    <w:p w14:paraId="42FDBD12"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Исполнение банками Планов мероприятий осуществляется под строгим контролем со стороны Агентства. Эффективность Планов мероприятий и исполнение принятых банками обязательств будет достигаться посредством применения надзорных мер.</w:t>
      </w:r>
    </w:p>
    <w:p w14:paraId="1B4B444B" w14:textId="77777777" w:rsidR="001516F0" w:rsidRPr="000B227F" w:rsidRDefault="001516F0" w:rsidP="001516F0">
      <w:pPr>
        <w:spacing w:after="0" w:line="240" w:lineRule="auto"/>
        <w:ind w:firstLine="709"/>
        <w:jc w:val="both"/>
        <w:rPr>
          <w:rFonts w:ascii="Times New Roman" w:eastAsia="Calibri" w:hAnsi="Times New Roman" w:cs="Times New Roman"/>
          <w:b/>
          <w:i/>
          <w:sz w:val="24"/>
          <w:szCs w:val="24"/>
        </w:rPr>
      </w:pPr>
    </w:p>
    <w:p w14:paraId="3187A22D" w14:textId="77777777"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 xml:space="preserve">Целевой индикатор 3: Агрегированный индекс финансовой устойчивости страховых (перестраховочных) организаций – коэффициент от 1 до 2,47 </w:t>
      </w:r>
      <w:r w:rsidRPr="000B227F">
        <w:rPr>
          <w:rFonts w:ascii="Times New Roman" w:eastAsia="Calibri" w:hAnsi="Times New Roman" w:cs="Times New Roman"/>
          <w:i/>
          <w:sz w:val="24"/>
          <w:szCs w:val="24"/>
        </w:rPr>
        <w:t>(по состоянию 01.01.2021г. – 1,45)</w:t>
      </w:r>
    </w:p>
    <w:p w14:paraId="3B656347"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r w:rsidRPr="000B227F">
        <w:rPr>
          <w:rFonts w:ascii="Times New Roman" w:eastAsia="Calibri" w:hAnsi="Times New Roman" w:cs="Times New Roman"/>
          <w:b/>
          <w:i/>
          <w:sz w:val="24"/>
          <w:szCs w:val="24"/>
        </w:rPr>
        <w:t>Мероприятия для достижения целевого индикатора:</w:t>
      </w:r>
    </w:p>
    <w:p w14:paraId="3B9E66D9"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В целях повышения эффективности систем управления рисками страховых организаций Агентством в 2020 году принят ряд нормативных актов по вопросам </w:t>
      </w:r>
      <w:r w:rsidRPr="000B227F">
        <w:rPr>
          <w:rFonts w:ascii="Times New Roman" w:eastAsia="Times New Roman" w:hAnsi="Times New Roman" w:cs="Times New Roman"/>
          <w:sz w:val="24"/>
          <w:szCs w:val="24"/>
          <w:lang w:eastAsia="ru-RU"/>
        </w:rPr>
        <w:lastRenderedPageBreak/>
        <w:t>формирования страховых резервов, оценки качества активов страховых организаций, формирования системы управления рисками и внутреннего контроля.</w:t>
      </w:r>
    </w:p>
    <w:p w14:paraId="46DC5452"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Принятие данных </w:t>
      </w:r>
      <w:r w:rsidRPr="000B227F">
        <w:rPr>
          <w:rFonts w:ascii="Times New Roman" w:eastAsia="Calibri" w:hAnsi="Times New Roman" w:cs="Times New Roman"/>
          <w:sz w:val="24"/>
          <w:szCs w:val="24"/>
          <w:lang w:eastAsia="ru-RU"/>
        </w:rPr>
        <w:t xml:space="preserve">постановлений </w:t>
      </w:r>
      <w:r w:rsidRPr="000B227F">
        <w:rPr>
          <w:rFonts w:ascii="Times New Roman" w:eastAsia="Times New Roman" w:hAnsi="Times New Roman" w:cs="Times New Roman"/>
          <w:sz w:val="24"/>
          <w:szCs w:val="24"/>
          <w:lang w:eastAsia="ru-RU"/>
        </w:rPr>
        <w:t xml:space="preserve">обеспечивает </w:t>
      </w:r>
      <w:proofErr w:type="spellStart"/>
      <w:r w:rsidRPr="000B227F">
        <w:rPr>
          <w:rFonts w:ascii="Times New Roman" w:eastAsia="Times New Roman" w:hAnsi="Times New Roman" w:cs="Times New Roman"/>
          <w:sz w:val="24"/>
          <w:szCs w:val="24"/>
          <w:lang w:eastAsia="ru-RU"/>
        </w:rPr>
        <w:t>траспарентность</w:t>
      </w:r>
      <w:proofErr w:type="spellEnd"/>
      <w:r w:rsidRPr="000B227F">
        <w:rPr>
          <w:rFonts w:ascii="Times New Roman" w:eastAsia="Times New Roman" w:hAnsi="Times New Roman" w:cs="Times New Roman"/>
          <w:sz w:val="24"/>
          <w:szCs w:val="24"/>
          <w:lang w:eastAsia="ru-RU"/>
        </w:rPr>
        <w:t xml:space="preserve"> расчета страховых резервов, а также оценку их адекватности на основе </w:t>
      </w:r>
      <w:proofErr w:type="spellStart"/>
      <w:r w:rsidRPr="000B227F">
        <w:rPr>
          <w:rFonts w:ascii="Times New Roman" w:eastAsia="Times New Roman" w:hAnsi="Times New Roman" w:cs="Times New Roman"/>
          <w:sz w:val="24"/>
          <w:szCs w:val="24"/>
          <w:lang w:eastAsia="ru-RU"/>
        </w:rPr>
        <w:t>run-off</w:t>
      </w:r>
      <w:proofErr w:type="spellEnd"/>
      <w:r w:rsidRPr="000B227F">
        <w:rPr>
          <w:rFonts w:ascii="Times New Roman" w:eastAsia="Times New Roman" w:hAnsi="Times New Roman" w:cs="Times New Roman"/>
          <w:sz w:val="24"/>
          <w:szCs w:val="24"/>
          <w:lang w:eastAsia="ru-RU"/>
        </w:rPr>
        <w:t xml:space="preserve"> анализа (постановление Правления Агентства от 26.03.2020г. № 23</w:t>
      </w:r>
      <w:r w:rsidRPr="000B227F">
        <w:rPr>
          <w:rFonts w:ascii="Times New Roman" w:eastAsia="Times New Roman" w:hAnsi="Times New Roman" w:cs="Times New Roman"/>
          <w:sz w:val="24"/>
          <w:szCs w:val="24"/>
          <w:vertAlign w:val="superscript"/>
          <w:lang w:eastAsia="ru-RU"/>
        </w:rPr>
        <w:footnoteReference w:id="12"/>
      </w:r>
      <w:r w:rsidRPr="000B227F">
        <w:rPr>
          <w:rFonts w:ascii="Times New Roman" w:eastAsia="Times New Roman" w:hAnsi="Times New Roman" w:cs="Times New Roman"/>
          <w:sz w:val="24"/>
          <w:szCs w:val="24"/>
          <w:lang w:eastAsia="ru-RU"/>
        </w:rPr>
        <w:t xml:space="preserve">). </w:t>
      </w:r>
    </w:p>
    <w:p w14:paraId="0D9B9E31" w14:textId="77777777" w:rsidR="001516F0" w:rsidRPr="000B227F" w:rsidRDefault="001516F0" w:rsidP="001516F0">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0B227F">
        <w:rPr>
          <w:rFonts w:ascii="Times New Roman" w:eastAsia="Times New Roman" w:hAnsi="Times New Roman" w:cs="Times New Roman"/>
          <w:sz w:val="24"/>
          <w:szCs w:val="24"/>
          <w:lang w:eastAsia="ru-RU"/>
        </w:rPr>
        <w:t xml:space="preserve">В рамках оценки качества активов предусмотрена </w:t>
      </w:r>
      <w:proofErr w:type="spellStart"/>
      <w:r w:rsidRPr="000B227F">
        <w:rPr>
          <w:rFonts w:ascii="Times New Roman" w:eastAsia="Times New Roman" w:hAnsi="Times New Roman" w:cs="Times New Roman"/>
          <w:sz w:val="24"/>
          <w:szCs w:val="24"/>
          <w:lang w:eastAsia="ru-RU"/>
        </w:rPr>
        <w:t>этапность</w:t>
      </w:r>
      <w:proofErr w:type="spellEnd"/>
      <w:r w:rsidRPr="000B227F">
        <w:rPr>
          <w:rFonts w:ascii="Times New Roman" w:eastAsia="Times New Roman" w:hAnsi="Times New Roman" w:cs="Times New Roman"/>
          <w:sz w:val="24"/>
          <w:szCs w:val="24"/>
          <w:lang w:eastAsia="ru-RU"/>
        </w:rPr>
        <w:t xml:space="preserve"> (в период с 2022 по </w:t>
      </w:r>
      <w:r w:rsidRPr="000B227F">
        <w:rPr>
          <w:rFonts w:ascii="Times New Roman" w:eastAsia="Times New Roman" w:hAnsi="Times New Roman" w:cs="Times New Roman"/>
          <w:sz w:val="24"/>
          <w:szCs w:val="24"/>
          <w:lang w:eastAsia="ru-RU"/>
        </w:rPr>
        <w:br/>
        <w:t>2024 годы) реализации страховыми организациями требований по расчету нормативов диверсификации активов от суммы общих страховых резервов (постановление Правления Агентства от 30.10.2020г. № 106</w:t>
      </w:r>
      <w:r w:rsidRPr="000B227F">
        <w:rPr>
          <w:rFonts w:ascii="Times New Roman" w:eastAsia="Times New Roman" w:hAnsi="Times New Roman" w:cs="Times New Roman"/>
          <w:sz w:val="24"/>
          <w:szCs w:val="24"/>
          <w:vertAlign w:val="superscript"/>
          <w:lang w:eastAsia="ru-RU"/>
        </w:rPr>
        <w:footnoteReference w:id="13"/>
      </w:r>
      <w:r w:rsidRPr="000B227F">
        <w:rPr>
          <w:rFonts w:ascii="Times New Roman" w:eastAsia="Times New Roman" w:hAnsi="Times New Roman" w:cs="Times New Roman"/>
          <w:sz w:val="24"/>
          <w:szCs w:val="24"/>
          <w:lang w:eastAsia="ru-RU"/>
        </w:rPr>
        <w:t xml:space="preserve"> и постановление Правления Агентства от 23.11.2020г. </w:t>
      </w:r>
      <w:r w:rsidRPr="000B227F">
        <w:rPr>
          <w:rFonts w:ascii="Times New Roman" w:eastAsia="Times New Roman" w:hAnsi="Times New Roman" w:cs="Times New Roman"/>
          <w:sz w:val="24"/>
          <w:szCs w:val="24"/>
          <w:lang w:eastAsia="ru-RU"/>
        </w:rPr>
        <w:br/>
        <w:t>№ 113</w:t>
      </w:r>
      <w:r w:rsidRPr="000B227F">
        <w:rPr>
          <w:rFonts w:ascii="Times New Roman" w:eastAsia="Times New Roman" w:hAnsi="Times New Roman" w:cs="Times New Roman"/>
          <w:sz w:val="24"/>
          <w:szCs w:val="24"/>
          <w:vertAlign w:val="superscript"/>
          <w:lang w:eastAsia="ru-RU"/>
        </w:rPr>
        <w:footnoteReference w:id="14"/>
      </w:r>
      <w:r w:rsidRPr="000B227F">
        <w:rPr>
          <w:rFonts w:ascii="Times New Roman" w:eastAsia="Times New Roman" w:hAnsi="Times New Roman" w:cs="Times New Roman"/>
          <w:sz w:val="24"/>
          <w:szCs w:val="24"/>
          <w:lang w:eastAsia="ru-RU"/>
        </w:rPr>
        <w:t xml:space="preserve">). </w:t>
      </w:r>
    </w:p>
    <w:p w14:paraId="26106D75"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r w:rsidRPr="000B227F">
        <w:rPr>
          <w:rFonts w:ascii="Times New Roman" w:eastAsia="Times New Roman" w:hAnsi="Times New Roman" w:cs="Times New Roman"/>
          <w:sz w:val="24"/>
          <w:szCs w:val="24"/>
          <w:lang w:eastAsia="ru-RU"/>
        </w:rPr>
        <w:t xml:space="preserve">В отчетном периоде также проводилась работа по совершенствованию методологии расчетов отдельных </w:t>
      </w:r>
      <w:proofErr w:type="gramStart"/>
      <w:r w:rsidRPr="000B227F">
        <w:rPr>
          <w:rFonts w:ascii="Times New Roman" w:eastAsia="Times New Roman" w:hAnsi="Times New Roman" w:cs="Times New Roman"/>
          <w:sz w:val="24"/>
          <w:szCs w:val="24"/>
          <w:lang w:eastAsia="ru-RU"/>
        </w:rPr>
        <w:t>показателей по количественной оценке</w:t>
      </w:r>
      <w:proofErr w:type="gramEnd"/>
      <w:r w:rsidRPr="000B227F">
        <w:rPr>
          <w:rFonts w:ascii="Times New Roman" w:eastAsia="Times New Roman" w:hAnsi="Times New Roman" w:cs="Times New Roman"/>
          <w:sz w:val="24"/>
          <w:szCs w:val="24"/>
          <w:lang w:eastAsia="ru-RU"/>
        </w:rPr>
        <w:t xml:space="preserve"> и определению уровня надзорного внимания по внутреннему надзорному инструменту, что позволило системно актуализировать его, исходя из изменений регуляторных требований, и операционных условий на рынке страхования.</w:t>
      </w:r>
    </w:p>
    <w:p w14:paraId="5F43E90F"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p>
    <w:p w14:paraId="4B50D032"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2.</w:t>
      </w:r>
    </w:p>
    <w:p w14:paraId="764FEFA5"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Повышение эффективности финансового сектора для финансирования экономики</w:t>
      </w:r>
    </w:p>
    <w:p w14:paraId="73A972D7"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b/>
          <w:i/>
          <w:sz w:val="24"/>
          <w:szCs w:val="24"/>
        </w:rPr>
      </w:pPr>
    </w:p>
    <w:p w14:paraId="46A7A382"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2.</w:t>
      </w:r>
      <w:r w:rsidRPr="000B227F">
        <w:rPr>
          <w:rFonts w:ascii="Times New Roman" w:eastAsia="Calibri" w:hAnsi="Times New Roman" w:cs="Times New Roman"/>
          <w:i/>
          <w:sz w:val="24"/>
          <w:szCs w:val="24"/>
          <w:u w:val="single"/>
        </w:rPr>
        <w:t xml:space="preserve"> </w:t>
      </w:r>
      <w:r w:rsidRPr="000B227F">
        <w:rPr>
          <w:rFonts w:ascii="Times New Roman" w:eastAsia="Calibri" w:hAnsi="Times New Roman" w:cs="Times New Roman"/>
          <w:b/>
          <w:i/>
          <w:sz w:val="24"/>
          <w:szCs w:val="24"/>
          <w:u w:val="single"/>
        </w:rPr>
        <w:t>Повышение кредитования реального сектора экономики</w:t>
      </w:r>
    </w:p>
    <w:p w14:paraId="28388061" w14:textId="77777777"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Целевой индикатор 1:</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Рост ссудного портфеля банков – от 2,5% </w:t>
      </w:r>
      <w:r w:rsidRPr="000B227F">
        <w:rPr>
          <w:rFonts w:ascii="Times New Roman" w:eastAsia="Calibri" w:hAnsi="Times New Roman" w:cs="Times New Roman"/>
          <w:b/>
          <w:i/>
          <w:sz w:val="24"/>
          <w:szCs w:val="24"/>
        </w:rPr>
        <w:br/>
        <w:t xml:space="preserve">до 3% </w:t>
      </w:r>
      <w:r w:rsidRPr="000B227F">
        <w:rPr>
          <w:rFonts w:ascii="Times New Roman" w:eastAsia="Calibri" w:hAnsi="Times New Roman" w:cs="Times New Roman"/>
          <w:i/>
          <w:sz w:val="24"/>
          <w:szCs w:val="24"/>
        </w:rPr>
        <w:t>(за 2020 год - 7,1%)</w:t>
      </w:r>
    </w:p>
    <w:p w14:paraId="1AA1CE06"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Мероприятия для достижения целевого индикатора:</w:t>
      </w:r>
    </w:p>
    <w:p w14:paraId="4C698C47" w14:textId="77777777" w:rsidR="001516F0" w:rsidRPr="000B227F" w:rsidRDefault="001516F0" w:rsidP="001516F0">
      <w:pPr>
        <w:spacing w:after="0" w:line="240" w:lineRule="auto"/>
        <w:ind w:firstLine="709"/>
        <w:jc w:val="both"/>
        <w:rPr>
          <w:rFonts w:ascii="Times New Roman" w:eastAsia="Times New Roman" w:hAnsi="Times New Roman" w:cs="Times New Roman"/>
          <w:bCs/>
          <w:sz w:val="24"/>
          <w:szCs w:val="24"/>
          <w:lang w:eastAsia="ru-RU"/>
        </w:rPr>
      </w:pPr>
      <w:r w:rsidRPr="000B227F">
        <w:rPr>
          <w:rFonts w:ascii="Times New Roman" w:hAnsi="Times New Roman" w:cs="Times New Roman"/>
          <w:sz w:val="24"/>
          <w:szCs w:val="24"/>
        </w:rPr>
        <w:t>Подробная информация указана в разделе «Разработка регуляторных стимулов и устранение барьеров для развития рынка корпоративного кредитования».</w:t>
      </w:r>
    </w:p>
    <w:p w14:paraId="0837604E"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p>
    <w:p w14:paraId="4F764203" w14:textId="77777777"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Целевой индикатор 2:</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Количество новых зарегистрированных выпусков ценных бумаг – не менее 6 выпусков </w:t>
      </w:r>
      <w:r w:rsidRPr="000B227F">
        <w:rPr>
          <w:rFonts w:ascii="Times New Roman" w:eastAsia="Calibri" w:hAnsi="Times New Roman" w:cs="Times New Roman"/>
          <w:i/>
          <w:sz w:val="24"/>
          <w:szCs w:val="24"/>
        </w:rPr>
        <w:t>(за 2020 год - 112)</w:t>
      </w:r>
    </w:p>
    <w:p w14:paraId="06CF5758"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Мероприятия для достижения целевого индикатора:</w:t>
      </w:r>
    </w:p>
    <w:p w14:paraId="5B566DCF"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B227F">
        <w:rPr>
          <w:rFonts w:ascii="Times New Roman" w:eastAsia="Times New Roman" w:hAnsi="Times New Roman" w:cs="Times New Roman"/>
          <w:sz w:val="24"/>
          <w:szCs w:val="24"/>
          <w:lang w:eastAsia="ru-RU"/>
        </w:rPr>
        <w:t xml:space="preserve">1. В целях оптимизации процедур регистрации ценных бумаг </w:t>
      </w:r>
      <w:r w:rsidRPr="000B227F">
        <w:rPr>
          <w:rFonts w:ascii="Times New Roman" w:eastAsia="Times New Roman" w:hAnsi="Times New Roman" w:cs="Times New Roman"/>
          <w:bCs/>
          <w:sz w:val="24"/>
          <w:szCs w:val="24"/>
          <w:lang w:eastAsia="ru-RU"/>
        </w:rPr>
        <w:t>приняты Постановления Правления Агентства от 30.03.2020г. № 42</w:t>
      </w:r>
      <w:r w:rsidRPr="000B227F">
        <w:rPr>
          <w:rFonts w:ascii="Times New Roman" w:eastAsia="Times New Roman" w:hAnsi="Times New Roman" w:cs="Times New Roman"/>
          <w:sz w:val="24"/>
          <w:szCs w:val="24"/>
          <w:vertAlign w:val="superscript"/>
          <w:lang w:eastAsia="ru-RU"/>
        </w:rPr>
        <w:footnoteReference w:id="15"/>
      </w:r>
      <w:r w:rsidRPr="000B227F">
        <w:rPr>
          <w:rFonts w:ascii="Times New Roman" w:eastAsia="Times New Roman" w:hAnsi="Times New Roman" w:cs="Times New Roman"/>
          <w:bCs/>
          <w:sz w:val="24"/>
          <w:szCs w:val="24"/>
          <w:lang w:eastAsia="ru-RU"/>
        </w:rPr>
        <w:t>, от 30.03.2020г. № 41</w:t>
      </w:r>
      <w:r w:rsidRPr="000B227F">
        <w:rPr>
          <w:rFonts w:ascii="Times New Roman" w:eastAsia="Times New Roman" w:hAnsi="Times New Roman" w:cs="Times New Roman"/>
          <w:sz w:val="24"/>
          <w:szCs w:val="24"/>
          <w:vertAlign w:val="superscript"/>
          <w:lang w:eastAsia="ru-RU"/>
        </w:rPr>
        <w:footnoteReference w:id="16"/>
      </w:r>
      <w:r w:rsidRPr="000B227F">
        <w:rPr>
          <w:rFonts w:ascii="Times New Roman" w:eastAsia="Times New Roman" w:hAnsi="Times New Roman" w:cs="Times New Roman"/>
          <w:bCs/>
          <w:sz w:val="24"/>
          <w:szCs w:val="24"/>
          <w:lang w:eastAsia="ru-RU"/>
        </w:rPr>
        <w:t xml:space="preserve"> и от 19.10.2020г. № 101</w:t>
      </w:r>
      <w:r w:rsidRPr="000B227F">
        <w:rPr>
          <w:rFonts w:ascii="Times New Roman" w:eastAsia="Times New Roman" w:hAnsi="Times New Roman" w:cs="Times New Roman"/>
          <w:sz w:val="24"/>
          <w:szCs w:val="24"/>
          <w:vertAlign w:val="superscript"/>
          <w:lang w:eastAsia="ru-RU"/>
        </w:rPr>
        <w:footnoteReference w:id="17"/>
      </w:r>
      <w:r w:rsidRPr="000B227F">
        <w:rPr>
          <w:rFonts w:ascii="Times New Roman" w:eastAsia="Times New Roman" w:hAnsi="Times New Roman" w:cs="Times New Roman"/>
          <w:bCs/>
          <w:sz w:val="24"/>
          <w:szCs w:val="24"/>
          <w:lang w:eastAsia="ru-RU"/>
        </w:rPr>
        <w:t>, предусматривающие:</w:t>
      </w:r>
    </w:p>
    <w:p w14:paraId="1DBF89CC"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B227F">
        <w:rPr>
          <w:rFonts w:ascii="Times New Roman" w:eastAsia="Times New Roman" w:hAnsi="Times New Roman" w:cs="Times New Roman"/>
          <w:bCs/>
          <w:sz w:val="24"/>
          <w:szCs w:val="24"/>
          <w:lang w:eastAsia="ru-RU"/>
        </w:rPr>
        <w:t>- исключение стандартов и регламентов оказания государственных услуг как отдельных нормативных правовых актов, а также их перенос в основные нормативные правовые документы, регламентирующие порядок оказания государственных услуг;</w:t>
      </w:r>
    </w:p>
    <w:p w14:paraId="58162AA7"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bCs/>
          <w:sz w:val="24"/>
          <w:szCs w:val="24"/>
          <w:lang w:eastAsia="ru-RU"/>
        </w:rPr>
        <w:t>- перевод государственной услуги по утверждению отчета об итогах размещения акций в электронный</w:t>
      </w:r>
      <w:r w:rsidRPr="000B227F">
        <w:rPr>
          <w:rFonts w:ascii="Times New Roman" w:eastAsia="Times New Roman" w:hAnsi="Times New Roman" w:cs="Times New Roman"/>
          <w:sz w:val="24"/>
          <w:szCs w:val="24"/>
          <w:lang w:eastAsia="ru-RU"/>
        </w:rPr>
        <w:t xml:space="preserve"> формат.</w:t>
      </w:r>
    </w:p>
    <w:p w14:paraId="656F36D0" w14:textId="77777777" w:rsidR="001516F0" w:rsidRPr="000B227F" w:rsidRDefault="001516F0" w:rsidP="001516F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B227F">
        <w:rPr>
          <w:rFonts w:ascii="Times New Roman" w:eastAsia="Times New Roman" w:hAnsi="Times New Roman" w:cs="Times New Roman"/>
          <w:bCs/>
          <w:sz w:val="24"/>
          <w:szCs w:val="24"/>
          <w:lang w:eastAsia="ru-RU"/>
        </w:rPr>
        <w:lastRenderedPageBreak/>
        <w:t>Вместе с тем, принято постановление Правления Агентства от 21.09.2020г. № 82</w:t>
      </w:r>
      <w:r w:rsidRPr="000B227F">
        <w:rPr>
          <w:rFonts w:ascii="Times New Roman" w:eastAsia="Times New Roman" w:hAnsi="Times New Roman" w:cs="Times New Roman"/>
          <w:sz w:val="24"/>
          <w:szCs w:val="24"/>
          <w:vertAlign w:val="superscript"/>
          <w:lang w:eastAsia="ru-RU"/>
        </w:rPr>
        <w:footnoteReference w:id="18"/>
      </w:r>
      <w:r w:rsidRPr="000B227F">
        <w:rPr>
          <w:rFonts w:ascii="Times New Roman" w:eastAsia="Times New Roman" w:hAnsi="Times New Roman" w:cs="Times New Roman"/>
          <w:bCs/>
          <w:sz w:val="24"/>
          <w:szCs w:val="24"/>
          <w:lang w:eastAsia="ru-RU"/>
        </w:rPr>
        <w:t xml:space="preserve">, предусматривающее, в том числе, поправки, направленные на упрощение порядка выпуска облигаций организациями </w:t>
      </w:r>
      <w:proofErr w:type="spellStart"/>
      <w:r w:rsidRPr="000B227F">
        <w:rPr>
          <w:rFonts w:ascii="Times New Roman" w:eastAsia="Times New Roman" w:hAnsi="Times New Roman" w:cs="Times New Roman"/>
          <w:bCs/>
          <w:sz w:val="24"/>
          <w:szCs w:val="24"/>
          <w:lang w:eastAsia="ru-RU"/>
        </w:rPr>
        <w:t>квазигосударственного</w:t>
      </w:r>
      <w:proofErr w:type="spellEnd"/>
      <w:r w:rsidRPr="000B227F">
        <w:rPr>
          <w:rFonts w:ascii="Times New Roman" w:eastAsia="Times New Roman" w:hAnsi="Times New Roman" w:cs="Times New Roman"/>
          <w:bCs/>
          <w:sz w:val="24"/>
          <w:szCs w:val="24"/>
          <w:lang w:eastAsia="ru-RU"/>
        </w:rPr>
        <w:t xml:space="preserve"> сектора.</w:t>
      </w:r>
    </w:p>
    <w:p w14:paraId="7696A3D9"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p>
    <w:p w14:paraId="0C18B751"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3.</w:t>
      </w:r>
    </w:p>
    <w:p w14:paraId="2B3D5F17"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Защита прав потребителей финансовых услуг, повышение финансовой доступности и финансовой грамотности</w:t>
      </w:r>
    </w:p>
    <w:p w14:paraId="6C75C5D3"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sz w:val="24"/>
          <w:szCs w:val="24"/>
          <w:lang w:eastAsia="ru-RU"/>
        </w:rPr>
      </w:pPr>
    </w:p>
    <w:p w14:paraId="7D333300"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3.</w:t>
      </w:r>
      <w:r w:rsidRPr="000B227F">
        <w:rPr>
          <w:rFonts w:ascii="Times New Roman" w:eastAsia="Calibri" w:hAnsi="Times New Roman" w:cs="Times New Roman"/>
          <w:i/>
          <w:sz w:val="24"/>
          <w:szCs w:val="24"/>
          <w:u w:val="single"/>
        </w:rPr>
        <w:t xml:space="preserve"> </w:t>
      </w:r>
      <w:r w:rsidRPr="000B227F">
        <w:rPr>
          <w:rFonts w:ascii="Times New Roman" w:eastAsia="Calibri" w:hAnsi="Times New Roman" w:cs="Times New Roman"/>
          <w:b/>
          <w:i/>
          <w:sz w:val="24"/>
          <w:szCs w:val="24"/>
          <w:u w:val="single"/>
        </w:rPr>
        <w:t>Повышение вовлеченности граждан в финансовый сектор и финансовой грамотности населения</w:t>
      </w:r>
    </w:p>
    <w:p w14:paraId="303870E0" w14:textId="77777777"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Целевой индикатор 1:</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Индекс финансовой грамотности – 37% опрошенных </w:t>
      </w:r>
      <w:r w:rsidRPr="000B227F">
        <w:rPr>
          <w:rFonts w:ascii="Times New Roman" w:eastAsia="Calibri" w:hAnsi="Times New Roman" w:cs="Times New Roman"/>
          <w:i/>
          <w:sz w:val="24"/>
          <w:szCs w:val="24"/>
        </w:rPr>
        <w:t>(2020 год - 39,07%)</w:t>
      </w:r>
    </w:p>
    <w:p w14:paraId="004F0E2E" w14:textId="77777777" w:rsidR="001516F0" w:rsidRPr="000B227F" w:rsidRDefault="001516F0" w:rsidP="001516F0">
      <w:pPr>
        <w:spacing w:after="0" w:line="240" w:lineRule="auto"/>
        <w:ind w:firstLine="709"/>
        <w:contextualSpacing/>
        <w:jc w:val="both"/>
        <w:rPr>
          <w:rFonts w:ascii="Times New Roman" w:eastAsia="Calibri" w:hAnsi="Times New Roman" w:cs="Times New Roman"/>
          <w:bCs/>
          <w:i/>
          <w:iCs/>
          <w:sz w:val="24"/>
          <w:szCs w:val="24"/>
        </w:rPr>
      </w:pPr>
      <w:r w:rsidRPr="000B227F">
        <w:rPr>
          <w:rFonts w:ascii="Times New Roman" w:eastAsia="Calibri" w:hAnsi="Times New Roman" w:cs="Times New Roman"/>
          <w:bCs/>
          <w:i/>
          <w:iCs/>
          <w:sz w:val="24"/>
          <w:szCs w:val="24"/>
        </w:rPr>
        <w:t>Мероприятия для достижения целевого индикатора:</w:t>
      </w:r>
    </w:p>
    <w:p w14:paraId="73DFB527"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Подробная информация приведена в разделе «</w:t>
      </w:r>
      <w:r w:rsidRPr="000B227F">
        <w:rPr>
          <w:rFonts w:ascii="Times New Roman" w:hAnsi="Times New Roman" w:cs="Times New Roman"/>
          <w:sz w:val="24"/>
          <w:szCs w:val="24"/>
        </w:rPr>
        <w:t>Проведение масштабной информационно-разъяснительной работы и популяризация финансовой грамотности</w:t>
      </w:r>
      <w:r w:rsidRPr="000B227F">
        <w:rPr>
          <w:rFonts w:ascii="Times New Roman" w:eastAsia="Times New Roman" w:hAnsi="Times New Roman" w:cs="Times New Roman"/>
          <w:sz w:val="24"/>
          <w:szCs w:val="24"/>
          <w:lang w:eastAsia="ru-RU"/>
        </w:rPr>
        <w:t>».</w:t>
      </w:r>
    </w:p>
    <w:p w14:paraId="68358D15"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В рамках реализации мероприятий Концепции </w:t>
      </w:r>
      <w:r w:rsidRPr="000B227F">
        <w:rPr>
          <w:rFonts w:ascii="Times New Roman" w:hAnsi="Times New Roman" w:cs="Times New Roman"/>
          <w:sz w:val="24"/>
          <w:szCs w:val="24"/>
        </w:rPr>
        <w:t>повышения финансовой грамотности на 2020-2024 годы</w:t>
      </w:r>
      <w:r w:rsidRPr="000B227F">
        <w:rPr>
          <w:rFonts w:ascii="Times New Roman" w:eastAsia="Times New Roman" w:hAnsi="Times New Roman" w:cs="Times New Roman"/>
          <w:sz w:val="24"/>
          <w:szCs w:val="24"/>
          <w:lang w:eastAsia="ru-RU"/>
        </w:rPr>
        <w:t xml:space="preserve"> проведено социологическое исследование уровня финансовой грамотности. Исследование проводилось по методологии ОЭСР с использованием трехфакторной модели: умение использовать финансовые услуги и инструменты, умение управлять собственными средствами, уровень информированности. </w:t>
      </w:r>
    </w:p>
    <w:p w14:paraId="697246DA"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Исследование охватило более 10 000 респондентов во всех регионах Казахстана из всех целевых групп: молодежь (от 15 лет), работающее население, респондентов среднего и </w:t>
      </w:r>
      <w:proofErr w:type="spellStart"/>
      <w:r w:rsidRPr="000B227F">
        <w:rPr>
          <w:rFonts w:ascii="Times New Roman" w:eastAsia="Times New Roman" w:hAnsi="Times New Roman" w:cs="Times New Roman"/>
          <w:sz w:val="24"/>
          <w:szCs w:val="24"/>
          <w:lang w:eastAsia="ru-RU"/>
        </w:rPr>
        <w:t>предпенсионного</w:t>
      </w:r>
      <w:proofErr w:type="spellEnd"/>
      <w:r w:rsidRPr="000B227F">
        <w:rPr>
          <w:rFonts w:ascii="Times New Roman" w:eastAsia="Times New Roman" w:hAnsi="Times New Roman" w:cs="Times New Roman"/>
          <w:sz w:val="24"/>
          <w:szCs w:val="24"/>
          <w:lang w:eastAsia="ru-RU"/>
        </w:rPr>
        <w:t xml:space="preserve"> возраста, пенсионеров. </w:t>
      </w:r>
    </w:p>
    <w:p w14:paraId="60150C6F"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p>
    <w:p w14:paraId="228AE61A"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4.</w:t>
      </w:r>
    </w:p>
    <w:p w14:paraId="45AA3CE0"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Конкуренция</w:t>
      </w:r>
    </w:p>
    <w:p w14:paraId="2EEE3784"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b/>
          <w:sz w:val="24"/>
          <w:szCs w:val="24"/>
          <w:u w:val="single"/>
        </w:rPr>
      </w:pPr>
    </w:p>
    <w:p w14:paraId="03D48A24"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4.</w:t>
      </w:r>
      <w:r w:rsidRPr="000B227F">
        <w:rPr>
          <w:rFonts w:ascii="Times New Roman" w:eastAsia="Calibri" w:hAnsi="Times New Roman" w:cs="Times New Roman"/>
          <w:i/>
          <w:sz w:val="24"/>
          <w:szCs w:val="24"/>
          <w:u w:val="single"/>
        </w:rPr>
        <w:t xml:space="preserve"> </w:t>
      </w:r>
      <w:r w:rsidRPr="000B227F">
        <w:rPr>
          <w:rFonts w:ascii="Times New Roman" w:eastAsia="Calibri" w:hAnsi="Times New Roman" w:cs="Times New Roman"/>
          <w:b/>
          <w:i/>
          <w:sz w:val="24"/>
          <w:szCs w:val="24"/>
          <w:u w:val="single"/>
        </w:rPr>
        <w:t>Активизация страхового рынка</w:t>
      </w:r>
    </w:p>
    <w:p w14:paraId="0BC429A0" w14:textId="77777777"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Целевой индикатор 1:</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Индекс развития страхового рынка – коэффициент от </w:t>
      </w:r>
      <w:r w:rsidRPr="000B227F">
        <w:rPr>
          <w:rFonts w:ascii="Times New Roman" w:eastAsia="Calibri" w:hAnsi="Times New Roman" w:cs="Times New Roman"/>
          <w:b/>
          <w:i/>
          <w:sz w:val="24"/>
          <w:szCs w:val="24"/>
        </w:rPr>
        <w:br/>
        <w:t xml:space="preserve">1 до 2,47 </w:t>
      </w:r>
      <w:r w:rsidRPr="000B227F">
        <w:rPr>
          <w:rFonts w:ascii="Times New Roman" w:eastAsia="Calibri" w:hAnsi="Times New Roman" w:cs="Times New Roman"/>
          <w:i/>
          <w:sz w:val="24"/>
          <w:szCs w:val="24"/>
        </w:rPr>
        <w:t>(по состоянию на 01.01.2021г. – 1,75)</w:t>
      </w:r>
    </w:p>
    <w:p w14:paraId="7F7D887B"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Мероприятия для достижения целевого индикатора:</w:t>
      </w:r>
    </w:p>
    <w:p w14:paraId="0DE9E114" w14:textId="270476D3"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В 2020 году в целях развития страхового сектора Агентством приняты комплексные меры по обеспечению его устойчивого роста и доступности страховых услуг. </w:t>
      </w:r>
    </w:p>
    <w:p w14:paraId="606C829F"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Для обеспечения развития накопительного страхования жизни введен отложенный пенсионный аннуитет, предусмотрена возможность использования различных инвестиционных стратегий (индивидуальных и коллективных) по страховому продукту, сочетающему страхование и управление активами (</w:t>
      </w:r>
      <w:proofErr w:type="spellStart"/>
      <w:r w:rsidRPr="000B227F">
        <w:rPr>
          <w:rFonts w:ascii="Times New Roman" w:eastAsia="Times New Roman" w:hAnsi="Times New Roman" w:cs="Times New Roman"/>
          <w:sz w:val="24"/>
          <w:szCs w:val="24"/>
          <w:lang w:eastAsia="ru-RU"/>
        </w:rPr>
        <w:t>unit-linked</w:t>
      </w:r>
      <w:proofErr w:type="spellEnd"/>
      <w:r w:rsidRPr="000B227F">
        <w:rPr>
          <w:rFonts w:ascii="Times New Roman" w:eastAsia="Times New Roman" w:hAnsi="Times New Roman" w:cs="Times New Roman"/>
          <w:sz w:val="24"/>
          <w:szCs w:val="24"/>
          <w:lang w:eastAsia="ru-RU"/>
        </w:rPr>
        <w:t xml:space="preserve">), с 1 января 2021 года введены налоговые льготы по ИПН по долгосрочным накопительным продуктам. </w:t>
      </w:r>
    </w:p>
    <w:p w14:paraId="3DDBFD1B"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Приняты меры по </w:t>
      </w:r>
      <w:proofErr w:type="spellStart"/>
      <w:r w:rsidRPr="000B227F">
        <w:rPr>
          <w:rFonts w:ascii="Times New Roman" w:eastAsia="Times New Roman" w:hAnsi="Times New Roman" w:cs="Times New Roman"/>
          <w:sz w:val="24"/>
          <w:szCs w:val="24"/>
          <w:lang w:eastAsia="ru-RU"/>
        </w:rPr>
        <w:t>цифровизации</w:t>
      </w:r>
      <w:proofErr w:type="spellEnd"/>
      <w:r w:rsidRPr="000B227F">
        <w:rPr>
          <w:rFonts w:ascii="Times New Roman" w:eastAsia="Times New Roman" w:hAnsi="Times New Roman" w:cs="Times New Roman"/>
          <w:sz w:val="24"/>
          <w:szCs w:val="24"/>
          <w:lang w:eastAsia="ru-RU"/>
        </w:rPr>
        <w:t xml:space="preserve"> продаж страховых продуктов. В настоящее время все договоры по страхованию ОГПО ВТС заключаются онлайн. </w:t>
      </w:r>
    </w:p>
    <w:p w14:paraId="3B89CB80"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Определены механизмы передачи страхового портфеля добровольно и принудительно ликвидируемых страховых организаций, а также пересмотрен механизм создания страхового пула в части привлечения страховых брокеров. </w:t>
      </w:r>
    </w:p>
    <w:p w14:paraId="3050CD69"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В целях дальнейшего развития страхового сектора и повышения привлекательности страховых продуктов Агентством разработан Законопроект по вопросам регулирования и развития страхового рынка, который предусматривает:</w:t>
      </w:r>
    </w:p>
    <w:p w14:paraId="26E4FBCE"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развитие и расширение страховых продуктов компаний по страхованию жизни, участие компаний по страхованию жизни в Государственной образовательной накопительной системе;</w:t>
      </w:r>
    </w:p>
    <w:p w14:paraId="399CCC54"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lastRenderedPageBreak/>
        <w:t>-совершенствование обязательного страхования, регламентация деятельности страховых посредников, развитие ЕСБД;</w:t>
      </w:r>
    </w:p>
    <w:p w14:paraId="4F5778B9" w14:textId="7F39E192"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 развитие вмененного страхования и </w:t>
      </w:r>
      <w:proofErr w:type="spellStart"/>
      <w:r w:rsidRPr="000B227F">
        <w:rPr>
          <w:rFonts w:ascii="Times New Roman" w:eastAsia="Times New Roman" w:hAnsi="Times New Roman" w:cs="Times New Roman"/>
          <w:sz w:val="24"/>
          <w:szCs w:val="24"/>
          <w:lang w:eastAsia="ru-RU"/>
        </w:rPr>
        <w:t>пуллинговой</w:t>
      </w:r>
      <w:proofErr w:type="spellEnd"/>
      <w:r w:rsidRPr="000B227F">
        <w:rPr>
          <w:rFonts w:ascii="Times New Roman" w:eastAsia="Times New Roman" w:hAnsi="Times New Roman" w:cs="Times New Roman"/>
          <w:sz w:val="24"/>
          <w:szCs w:val="24"/>
          <w:lang w:eastAsia="ru-RU"/>
        </w:rPr>
        <w:t xml:space="preserve"> системы в Республике Казахстан;</w:t>
      </w:r>
    </w:p>
    <w:p w14:paraId="69BF329D"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оптимизацию процедур регулирования и надзора страхового рынка, в том числе, процедур, связанных с лицензированием, ликвидацией и реорганизацией страховых организаций, передачей страхового портфеля;</w:t>
      </w:r>
    </w:p>
    <w:p w14:paraId="67058FF8"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 совершенствование инфраструктуры страхового рынка, включая систему гарантирования страховых выплат, деятельности актуариев, страховых посредников и страхового </w:t>
      </w:r>
      <w:proofErr w:type="spellStart"/>
      <w:r w:rsidRPr="000B227F">
        <w:rPr>
          <w:rFonts w:ascii="Times New Roman" w:eastAsia="Times New Roman" w:hAnsi="Times New Roman" w:cs="Times New Roman"/>
          <w:sz w:val="24"/>
          <w:szCs w:val="24"/>
          <w:lang w:eastAsia="ru-RU"/>
        </w:rPr>
        <w:t>омбудсмана</w:t>
      </w:r>
      <w:proofErr w:type="spellEnd"/>
      <w:r w:rsidRPr="000B227F">
        <w:rPr>
          <w:rFonts w:ascii="Times New Roman" w:eastAsia="Times New Roman" w:hAnsi="Times New Roman" w:cs="Times New Roman"/>
          <w:sz w:val="24"/>
          <w:szCs w:val="24"/>
          <w:lang w:eastAsia="ru-RU"/>
        </w:rPr>
        <w:t xml:space="preserve">. </w:t>
      </w:r>
    </w:p>
    <w:p w14:paraId="5B70FC40"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p>
    <w:p w14:paraId="188A1751"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5.</w:t>
      </w:r>
    </w:p>
    <w:p w14:paraId="04AD3FC4" w14:textId="77777777" w:rsidR="001516F0" w:rsidRPr="000B227F" w:rsidRDefault="001516F0" w:rsidP="001516F0">
      <w:pPr>
        <w:spacing w:after="0" w:line="240" w:lineRule="auto"/>
        <w:contextualSpacing/>
        <w:jc w:val="center"/>
        <w:rPr>
          <w:rFonts w:ascii="Times New Roman" w:eastAsia="Calibri" w:hAnsi="Times New Roman" w:cs="Times New Roman"/>
          <w:bCs/>
          <w:i/>
          <w:iCs/>
          <w:sz w:val="24"/>
          <w:szCs w:val="24"/>
        </w:rPr>
      </w:pPr>
      <w:r w:rsidRPr="000B227F">
        <w:rPr>
          <w:rFonts w:ascii="Times New Roman" w:eastAsia="Calibri" w:hAnsi="Times New Roman" w:cs="Times New Roman"/>
          <w:b/>
          <w:sz w:val="24"/>
          <w:szCs w:val="24"/>
          <w:u w:val="single"/>
        </w:rPr>
        <w:t xml:space="preserve">Применение новых технологий на финансовом рынке, </w:t>
      </w:r>
      <w:proofErr w:type="spellStart"/>
      <w:r w:rsidRPr="000B227F">
        <w:rPr>
          <w:rFonts w:ascii="Times New Roman" w:eastAsia="Calibri" w:hAnsi="Times New Roman" w:cs="Times New Roman"/>
          <w:b/>
          <w:sz w:val="24"/>
          <w:szCs w:val="24"/>
          <w:u w:val="single"/>
        </w:rPr>
        <w:t>цифровизация</w:t>
      </w:r>
      <w:proofErr w:type="spellEnd"/>
      <w:r w:rsidRPr="000B227F">
        <w:rPr>
          <w:rFonts w:ascii="Times New Roman" w:eastAsia="Calibri" w:hAnsi="Times New Roman" w:cs="Times New Roman"/>
          <w:b/>
          <w:sz w:val="24"/>
          <w:szCs w:val="24"/>
          <w:u w:val="single"/>
        </w:rPr>
        <w:t xml:space="preserve"> финансовых услуг</w:t>
      </w:r>
    </w:p>
    <w:p w14:paraId="057404AB"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b/>
          <w:sz w:val="24"/>
          <w:szCs w:val="24"/>
          <w:u w:val="single"/>
        </w:rPr>
      </w:pPr>
    </w:p>
    <w:p w14:paraId="4EE3CC04"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5.</w:t>
      </w:r>
      <w:r w:rsidRPr="000B227F">
        <w:rPr>
          <w:rFonts w:ascii="Times New Roman" w:eastAsia="Calibri" w:hAnsi="Times New Roman" w:cs="Times New Roman"/>
          <w:i/>
          <w:sz w:val="24"/>
          <w:szCs w:val="24"/>
          <w:u w:val="single"/>
        </w:rPr>
        <w:t xml:space="preserve"> </w:t>
      </w:r>
      <w:r w:rsidRPr="000B227F">
        <w:rPr>
          <w:rFonts w:ascii="Times New Roman" w:eastAsia="Calibri" w:hAnsi="Times New Roman" w:cs="Times New Roman"/>
          <w:b/>
          <w:i/>
          <w:sz w:val="24"/>
          <w:szCs w:val="24"/>
          <w:u w:val="single"/>
        </w:rPr>
        <w:t>Упрощение процедур идентификации клиентов</w:t>
      </w:r>
    </w:p>
    <w:p w14:paraId="1416A2A0" w14:textId="77777777" w:rsidR="001516F0" w:rsidRPr="000B227F" w:rsidRDefault="001516F0" w:rsidP="001516F0">
      <w:pPr>
        <w:spacing w:after="0" w:line="240" w:lineRule="auto"/>
        <w:ind w:firstLine="709"/>
        <w:contextualSpacing/>
        <w:jc w:val="both"/>
        <w:rPr>
          <w:rFonts w:ascii="Times New Roman" w:eastAsia="Calibri" w:hAnsi="Times New Roman" w:cs="Times New Roman"/>
          <w:i/>
          <w:sz w:val="24"/>
          <w:szCs w:val="24"/>
        </w:rPr>
      </w:pPr>
      <w:r w:rsidRPr="000B227F">
        <w:rPr>
          <w:rFonts w:ascii="Times New Roman" w:eastAsia="Calibri" w:hAnsi="Times New Roman" w:cs="Times New Roman"/>
          <w:b/>
          <w:i/>
          <w:sz w:val="24"/>
          <w:szCs w:val="24"/>
        </w:rPr>
        <w:t>Целевой индикатор 1:</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Доля новых клиентов БВУ, прошедших первичную идентификацию удаленным способом – 10% </w:t>
      </w:r>
      <w:r w:rsidRPr="000B227F">
        <w:rPr>
          <w:rFonts w:ascii="Times New Roman" w:eastAsia="Calibri" w:hAnsi="Times New Roman" w:cs="Times New Roman"/>
          <w:i/>
          <w:sz w:val="24"/>
          <w:szCs w:val="24"/>
        </w:rPr>
        <w:t>(по состоянию на 01.01.2021г. – 15,8%)</w:t>
      </w:r>
    </w:p>
    <w:p w14:paraId="4369A08D"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Мероприятия для достижения целевого индикатора:</w:t>
      </w:r>
    </w:p>
    <w:p w14:paraId="4641258D"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В отчетном периоде НБРК совместно с Агентством разработана Концепция по развитию финансовых технологий и инноваций на 2020-2025гг., утвержденная постановлением Правления НБРК от 17.08.2020г. № 101. </w:t>
      </w:r>
    </w:p>
    <w:p w14:paraId="4C4A7461"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Концепция разработана с целью формирования плана действий для развития финансовых технологий и инноваций на финансовом рынке Казахстана, определения роли участников финансового рынка, формирования требований к ним и определения условий реализации </w:t>
      </w:r>
      <w:proofErr w:type="spellStart"/>
      <w:r w:rsidRPr="000B227F">
        <w:rPr>
          <w:rFonts w:ascii="Times New Roman" w:eastAsia="Times New Roman" w:hAnsi="Times New Roman" w:cs="Times New Roman"/>
          <w:sz w:val="24"/>
          <w:szCs w:val="24"/>
          <w:lang w:eastAsia="ru-RU"/>
        </w:rPr>
        <w:t>финтех</w:t>
      </w:r>
      <w:proofErr w:type="spellEnd"/>
      <w:r w:rsidRPr="000B227F">
        <w:rPr>
          <w:rFonts w:ascii="Times New Roman" w:eastAsia="Times New Roman" w:hAnsi="Times New Roman" w:cs="Times New Roman"/>
          <w:sz w:val="24"/>
          <w:szCs w:val="24"/>
          <w:lang w:eastAsia="ru-RU"/>
        </w:rPr>
        <w:t xml:space="preserve">-инициатив. </w:t>
      </w:r>
    </w:p>
    <w:p w14:paraId="5F5F8521"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Определенные в Концепции ключевые приоритеты и стратегические инициативы направлены на дальнейшее развитие рынка финансовых технологий и инноваций. </w:t>
      </w:r>
    </w:p>
    <w:p w14:paraId="6E831F4C"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Вместе с тем, постановлением Правления Агентства от 21 сентября 2020 года № 84</w:t>
      </w:r>
      <w:r w:rsidRPr="000B227F">
        <w:rPr>
          <w:rFonts w:ascii="Times New Roman" w:eastAsia="Times New Roman" w:hAnsi="Times New Roman" w:cs="Times New Roman"/>
          <w:sz w:val="24"/>
          <w:szCs w:val="24"/>
          <w:vertAlign w:val="superscript"/>
          <w:lang w:eastAsia="ru-RU"/>
        </w:rPr>
        <w:footnoteReference w:id="19"/>
      </w:r>
      <w:r w:rsidRPr="000B227F">
        <w:rPr>
          <w:rFonts w:ascii="Times New Roman" w:eastAsia="Times New Roman" w:hAnsi="Times New Roman" w:cs="Times New Roman"/>
          <w:sz w:val="24"/>
          <w:szCs w:val="24"/>
          <w:lang w:eastAsia="ru-RU"/>
        </w:rPr>
        <w:t xml:space="preserve"> внесены поправки в постановление Правления НБРК от 3 февраля 2014 года № 9</w:t>
      </w:r>
      <w:r w:rsidRPr="000B227F">
        <w:rPr>
          <w:rFonts w:ascii="Times New Roman" w:eastAsia="Times New Roman" w:hAnsi="Times New Roman" w:cs="Times New Roman"/>
          <w:sz w:val="24"/>
          <w:szCs w:val="24"/>
          <w:vertAlign w:val="superscript"/>
          <w:lang w:eastAsia="ru-RU"/>
        </w:rPr>
        <w:footnoteReference w:id="20"/>
      </w:r>
      <w:r w:rsidRPr="000B227F">
        <w:rPr>
          <w:rFonts w:ascii="Times New Roman" w:eastAsia="Times New Roman" w:hAnsi="Times New Roman" w:cs="Times New Roman"/>
          <w:sz w:val="24"/>
          <w:szCs w:val="24"/>
          <w:lang w:eastAsia="ru-RU"/>
        </w:rPr>
        <w:t>, которые предусматривают упрощенный порядок заключения инвесторами брокерских договоров дистанционным способом с использованием биометрической идентификации и смс-кода.</w:t>
      </w:r>
    </w:p>
    <w:p w14:paraId="37549E6C"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p>
    <w:p w14:paraId="444E59CB"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6.</w:t>
      </w:r>
    </w:p>
    <w:p w14:paraId="0CD7A24E"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Развитие системы микрофинансирования</w:t>
      </w:r>
    </w:p>
    <w:p w14:paraId="477A50D8"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b/>
          <w:sz w:val="24"/>
          <w:szCs w:val="24"/>
          <w:u w:val="single"/>
        </w:rPr>
      </w:pPr>
    </w:p>
    <w:p w14:paraId="3A7C4563"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6.</w:t>
      </w:r>
      <w:r w:rsidRPr="000B227F">
        <w:rPr>
          <w:rFonts w:ascii="Times New Roman" w:eastAsia="Calibri" w:hAnsi="Times New Roman" w:cs="Times New Roman"/>
          <w:i/>
          <w:sz w:val="24"/>
          <w:szCs w:val="24"/>
          <w:u w:val="single"/>
        </w:rPr>
        <w:t xml:space="preserve"> </w:t>
      </w:r>
      <w:r w:rsidRPr="000B227F">
        <w:rPr>
          <w:rFonts w:ascii="Times New Roman" w:eastAsia="Calibri" w:hAnsi="Times New Roman" w:cs="Times New Roman"/>
          <w:b/>
          <w:i/>
          <w:sz w:val="24"/>
          <w:szCs w:val="24"/>
          <w:u w:val="single"/>
        </w:rPr>
        <w:t xml:space="preserve">Совершенствование регулирования организаций, осуществляющих </w:t>
      </w:r>
      <w:proofErr w:type="spellStart"/>
      <w:r w:rsidRPr="000B227F">
        <w:rPr>
          <w:rFonts w:ascii="Times New Roman" w:eastAsia="Calibri" w:hAnsi="Times New Roman" w:cs="Times New Roman"/>
          <w:b/>
          <w:i/>
          <w:sz w:val="24"/>
          <w:szCs w:val="24"/>
          <w:u w:val="single"/>
        </w:rPr>
        <w:t>микрофинансовую</w:t>
      </w:r>
      <w:proofErr w:type="spellEnd"/>
      <w:r w:rsidRPr="000B227F">
        <w:rPr>
          <w:rFonts w:ascii="Times New Roman" w:eastAsia="Calibri" w:hAnsi="Times New Roman" w:cs="Times New Roman"/>
          <w:b/>
          <w:i/>
          <w:sz w:val="24"/>
          <w:szCs w:val="24"/>
          <w:u w:val="single"/>
        </w:rPr>
        <w:t xml:space="preserve"> деятельность</w:t>
      </w:r>
    </w:p>
    <w:p w14:paraId="4C7EB56A" w14:textId="0E99710B"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r w:rsidRPr="000B227F">
        <w:rPr>
          <w:rFonts w:ascii="Times New Roman" w:eastAsia="Calibri" w:hAnsi="Times New Roman" w:cs="Times New Roman"/>
          <w:b/>
          <w:i/>
          <w:sz w:val="24"/>
          <w:szCs w:val="24"/>
        </w:rPr>
        <w:t>Целевой индикатор 1:</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Рост ссудного портфеля организаций, осуществляющих </w:t>
      </w:r>
      <w:proofErr w:type="spellStart"/>
      <w:r w:rsidRPr="000B227F">
        <w:rPr>
          <w:rFonts w:ascii="Times New Roman" w:eastAsia="Calibri" w:hAnsi="Times New Roman" w:cs="Times New Roman"/>
          <w:b/>
          <w:i/>
          <w:sz w:val="24"/>
          <w:szCs w:val="24"/>
        </w:rPr>
        <w:t>микрофинансовую</w:t>
      </w:r>
      <w:proofErr w:type="spellEnd"/>
      <w:r w:rsidRPr="000B227F">
        <w:rPr>
          <w:rFonts w:ascii="Times New Roman" w:eastAsia="Calibri" w:hAnsi="Times New Roman" w:cs="Times New Roman"/>
          <w:b/>
          <w:i/>
          <w:sz w:val="24"/>
          <w:szCs w:val="24"/>
        </w:rPr>
        <w:t xml:space="preserve"> деятельность – от 3% до 5% </w:t>
      </w:r>
      <w:r w:rsidRPr="000B227F">
        <w:rPr>
          <w:rFonts w:ascii="Times New Roman" w:eastAsia="Calibri" w:hAnsi="Times New Roman" w:cs="Times New Roman"/>
          <w:i/>
          <w:sz w:val="24"/>
          <w:szCs w:val="24"/>
        </w:rPr>
        <w:t>(за 2020 год – 235%)</w:t>
      </w:r>
    </w:p>
    <w:p w14:paraId="3402842B" w14:textId="77777777" w:rsidR="001516F0" w:rsidRPr="000B227F" w:rsidRDefault="001516F0" w:rsidP="001516F0">
      <w:pPr>
        <w:tabs>
          <w:tab w:val="left" w:pos="7980"/>
        </w:tabs>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Мероприятия для достижения целевого индикатора:</w:t>
      </w:r>
    </w:p>
    <w:p w14:paraId="5F95253C"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Подробная информация приведена в разделе «Принятие мер для выявления и пресечения деятельности «теневого рынка» кредитования».</w:t>
      </w:r>
    </w:p>
    <w:p w14:paraId="77C250CD"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По состоянию на 01.01.2021г. прошли учетную регистрацию 1 110 организаций, осуществляющих </w:t>
      </w:r>
      <w:proofErr w:type="spellStart"/>
      <w:r w:rsidRPr="000B227F">
        <w:rPr>
          <w:rFonts w:ascii="Times New Roman" w:eastAsia="Times New Roman" w:hAnsi="Times New Roman" w:cs="Times New Roman"/>
          <w:sz w:val="24"/>
          <w:szCs w:val="24"/>
          <w:lang w:eastAsia="ru-RU"/>
        </w:rPr>
        <w:t>микрофинансовую</w:t>
      </w:r>
      <w:proofErr w:type="spellEnd"/>
      <w:r w:rsidRPr="000B227F">
        <w:rPr>
          <w:rFonts w:ascii="Times New Roman" w:eastAsia="Times New Roman" w:hAnsi="Times New Roman" w:cs="Times New Roman"/>
          <w:sz w:val="24"/>
          <w:szCs w:val="24"/>
          <w:lang w:eastAsia="ru-RU"/>
        </w:rPr>
        <w:t xml:space="preserve"> деятельность</w:t>
      </w:r>
      <w:r w:rsidRPr="000B227F" w:rsidDel="00814ADC">
        <w:rPr>
          <w:rFonts w:ascii="Times New Roman" w:eastAsia="Times New Roman" w:hAnsi="Times New Roman" w:cs="Times New Roman"/>
          <w:sz w:val="24"/>
          <w:szCs w:val="24"/>
          <w:lang w:eastAsia="ru-RU"/>
        </w:rPr>
        <w:t xml:space="preserve"> </w:t>
      </w:r>
      <w:r w:rsidRPr="000B227F">
        <w:rPr>
          <w:rFonts w:ascii="Times New Roman" w:eastAsia="Times New Roman" w:hAnsi="Times New Roman" w:cs="Times New Roman"/>
          <w:sz w:val="24"/>
          <w:szCs w:val="24"/>
          <w:lang w:eastAsia="ru-RU"/>
        </w:rPr>
        <w:t xml:space="preserve">(далее – ООМФД). </w:t>
      </w:r>
    </w:p>
    <w:p w14:paraId="74A2B8CA"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До 1 марта 2021 года субъекты рынка должны будут обратиться в Агентство за получением лицензии.</w:t>
      </w:r>
    </w:p>
    <w:p w14:paraId="21980204" w14:textId="77777777" w:rsidR="001516F0" w:rsidRPr="000B227F" w:rsidRDefault="001516F0" w:rsidP="001516F0">
      <w:pPr>
        <w:spacing w:after="0" w:line="240" w:lineRule="auto"/>
        <w:ind w:firstLine="708"/>
        <w:jc w:val="both"/>
        <w:rPr>
          <w:rFonts w:ascii="Times New Roman" w:eastAsia="Calibri" w:hAnsi="Times New Roman" w:cs="Times New Roman"/>
          <w:b/>
          <w:bCs/>
          <w:i/>
          <w:iCs/>
          <w:sz w:val="24"/>
          <w:szCs w:val="24"/>
        </w:rPr>
      </w:pPr>
      <w:r w:rsidRPr="000B227F">
        <w:rPr>
          <w:rFonts w:ascii="Times New Roman" w:hAnsi="Times New Roman" w:cs="Times New Roman"/>
          <w:sz w:val="24"/>
          <w:szCs w:val="24"/>
        </w:rPr>
        <w:t xml:space="preserve">По итогам 2020 года совокупный ссудный портфель ООМФД составил 1 020 млрд. тенге (по состоянию на 01.01.2020г. – 304,9 млрд. тенге), увеличение ссудного портфеля </w:t>
      </w:r>
      <w:r w:rsidRPr="000B227F">
        <w:rPr>
          <w:rFonts w:ascii="Times New Roman" w:hAnsi="Times New Roman" w:cs="Times New Roman"/>
          <w:sz w:val="24"/>
          <w:szCs w:val="24"/>
        </w:rPr>
        <w:lastRenderedPageBreak/>
        <w:t xml:space="preserve">ООМФД почти в 3,3 раза обусловлено увеличением количества ООМФД, прошедших учетную регистрацию. </w:t>
      </w:r>
    </w:p>
    <w:p w14:paraId="5F9204D4"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p>
    <w:p w14:paraId="7FD02DC0"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7.</w:t>
      </w:r>
    </w:p>
    <w:p w14:paraId="70781ECD"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proofErr w:type="spellStart"/>
      <w:r w:rsidRPr="000B227F">
        <w:rPr>
          <w:rFonts w:ascii="Times New Roman" w:eastAsia="Calibri" w:hAnsi="Times New Roman" w:cs="Times New Roman"/>
          <w:b/>
          <w:sz w:val="24"/>
          <w:szCs w:val="24"/>
          <w:u w:val="single"/>
        </w:rPr>
        <w:t>Кибербезопасность</w:t>
      </w:r>
      <w:proofErr w:type="spellEnd"/>
    </w:p>
    <w:p w14:paraId="4B4288A5"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b/>
          <w:sz w:val="24"/>
          <w:szCs w:val="24"/>
          <w:u w:val="single"/>
        </w:rPr>
      </w:pPr>
    </w:p>
    <w:p w14:paraId="52810A9E"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7.</w:t>
      </w:r>
      <w:r w:rsidRPr="000B227F">
        <w:rPr>
          <w:rFonts w:ascii="Times New Roman" w:eastAsia="Calibri" w:hAnsi="Times New Roman" w:cs="Times New Roman"/>
          <w:i/>
          <w:sz w:val="24"/>
          <w:szCs w:val="24"/>
          <w:u w:val="single"/>
        </w:rPr>
        <w:t xml:space="preserve"> </w:t>
      </w:r>
      <w:r w:rsidRPr="000B227F">
        <w:rPr>
          <w:rFonts w:ascii="Times New Roman" w:eastAsia="Calibri" w:hAnsi="Times New Roman" w:cs="Times New Roman"/>
          <w:b/>
          <w:i/>
          <w:sz w:val="24"/>
          <w:szCs w:val="24"/>
          <w:u w:val="single"/>
        </w:rPr>
        <w:t>Совершенствование взаимодействия в области информационной безопасности в глобальном масштабе</w:t>
      </w:r>
    </w:p>
    <w:p w14:paraId="3B811FB9"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r w:rsidRPr="000B227F">
        <w:rPr>
          <w:rFonts w:ascii="Times New Roman" w:eastAsia="Calibri" w:hAnsi="Times New Roman" w:cs="Times New Roman"/>
          <w:b/>
          <w:i/>
          <w:sz w:val="24"/>
          <w:szCs w:val="24"/>
        </w:rPr>
        <w:t>Целевой индикатор 1:</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Количество соглашений отраслевого центра информационной безопасности финансового рынка с международными организациями/иностранными регуляторами об информационном обмене по </w:t>
      </w:r>
      <w:proofErr w:type="spellStart"/>
      <w:r w:rsidRPr="000B227F">
        <w:rPr>
          <w:rFonts w:ascii="Times New Roman" w:eastAsia="Calibri" w:hAnsi="Times New Roman" w:cs="Times New Roman"/>
          <w:b/>
          <w:i/>
          <w:sz w:val="24"/>
          <w:szCs w:val="24"/>
        </w:rPr>
        <w:t>киберинцидентам</w:t>
      </w:r>
      <w:proofErr w:type="spellEnd"/>
      <w:r w:rsidRPr="000B227F">
        <w:rPr>
          <w:rFonts w:ascii="Times New Roman" w:eastAsia="Calibri" w:hAnsi="Times New Roman" w:cs="Times New Roman"/>
          <w:b/>
          <w:i/>
          <w:sz w:val="24"/>
          <w:szCs w:val="24"/>
        </w:rPr>
        <w:t xml:space="preserve"> и </w:t>
      </w:r>
      <w:proofErr w:type="spellStart"/>
      <w:r w:rsidRPr="000B227F">
        <w:rPr>
          <w:rFonts w:ascii="Times New Roman" w:eastAsia="Calibri" w:hAnsi="Times New Roman" w:cs="Times New Roman"/>
          <w:b/>
          <w:i/>
          <w:sz w:val="24"/>
          <w:szCs w:val="24"/>
        </w:rPr>
        <w:t>киберугрозам</w:t>
      </w:r>
      <w:proofErr w:type="spellEnd"/>
      <w:r w:rsidRPr="000B227F">
        <w:rPr>
          <w:rFonts w:ascii="Times New Roman" w:eastAsia="Calibri" w:hAnsi="Times New Roman" w:cs="Times New Roman"/>
          <w:b/>
          <w:i/>
          <w:sz w:val="24"/>
          <w:szCs w:val="24"/>
        </w:rPr>
        <w:t xml:space="preserve"> – 2 соглашения </w:t>
      </w:r>
      <w:r w:rsidRPr="000B227F">
        <w:rPr>
          <w:rFonts w:ascii="Times New Roman" w:eastAsia="Calibri" w:hAnsi="Times New Roman" w:cs="Times New Roman"/>
          <w:i/>
          <w:sz w:val="24"/>
          <w:szCs w:val="24"/>
        </w:rPr>
        <w:t xml:space="preserve">(по состоянию на 01.01.2021г.  – </w:t>
      </w:r>
      <w:r w:rsidRPr="000B227F">
        <w:rPr>
          <w:rFonts w:ascii="Times New Roman" w:eastAsia="Calibri" w:hAnsi="Times New Roman" w:cs="Times New Roman"/>
          <w:i/>
          <w:sz w:val="24"/>
          <w:szCs w:val="24"/>
        </w:rPr>
        <w:br/>
        <w:t>2  соглашения)</w:t>
      </w:r>
    </w:p>
    <w:p w14:paraId="63AACB41"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 xml:space="preserve"> Мероприятия для достижения целевого индикатора:</w:t>
      </w:r>
    </w:p>
    <w:p w14:paraId="2A446EA8" w14:textId="77777777" w:rsidR="001516F0" w:rsidRPr="000B227F" w:rsidRDefault="001516F0" w:rsidP="001516F0">
      <w:pPr>
        <w:tabs>
          <w:tab w:val="left" w:pos="436"/>
          <w:tab w:val="left" w:pos="604"/>
        </w:tabs>
        <w:spacing w:after="0" w:line="240" w:lineRule="auto"/>
        <w:ind w:firstLine="709"/>
        <w:jc w:val="both"/>
        <w:rPr>
          <w:rFonts w:ascii="Times New Roman" w:eastAsia="Times New Roman" w:hAnsi="Times New Roman" w:cs="Times New Roman"/>
          <w:b/>
          <w:sz w:val="24"/>
          <w:szCs w:val="24"/>
          <w:lang w:eastAsia="ru-RU"/>
        </w:rPr>
      </w:pPr>
      <w:r w:rsidRPr="000B227F">
        <w:rPr>
          <w:rFonts w:ascii="Times New Roman" w:eastAsia="Times New Roman" w:hAnsi="Times New Roman" w:cs="Times New Roman"/>
          <w:sz w:val="24"/>
          <w:szCs w:val="24"/>
          <w:lang w:eastAsia="ru-RU"/>
        </w:rPr>
        <w:t>В рамках организации международного сотрудничества в области обеспечения информационной безопасности в декабре 2020 года подписаны Соглашения о взаимодействии с Центральным банком Армении и Национальным банком Кыргызстана.</w:t>
      </w:r>
    </w:p>
    <w:p w14:paraId="1E55E80B"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p>
    <w:p w14:paraId="60B3ACA2"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Стратегическое направление 8.</w:t>
      </w:r>
    </w:p>
    <w:p w14:paraId="67F2BD5B" w14:textId="77777777" w:rsidR="001516F0" w:rsidRPr="000B227F" w:rsidRDefault="001516F0" w:rsidP="001516F0">
      <w:pPr>
        <w:spacing w:after="0" w:line="240" w:lineRule="auto"/>
        <w:contextualSpacing/>
        <w:jc w:val="center"/>
        <w:rPr>
          <w:rFonts w:ascii="Times New Roman" w:eastAsia="Calibri" w:hAnsi="Times New Roman" w:cs="Times New Roman"/>
          <w:b/>
          <w:sz w:val="24"/>
          <w:szCs w:val="24"/>
          <w:u w:val="single"/>
        </w:rPr>
      </w:pPr>
      <w:r w:rsidRPr="000B227F">
        <w:rPr>
          <w:rFonts w:ascii="Times New Roman" w:eastAsia="Calibri" w:hAnsi="Times New Roman" w:cs="Times New Roman"/>
          <w:b/>
          <w:sz w:val="24"/>
          <w:szCs w:val="24"/>
          <w:u w:val="single"/>
        </w:rPr>
        <w:t>Противодействие отмыванию денег и финансированию терроризма</w:t>
      </w:r>
    </w:p>
    <w:p w14:paraId="66574B96" w14:textId="77777777" w:rsidR="001516F0" w:rsidRPr="000B227F" w:rsidRDefault="001516F0" w:rsidP="001516F0">
      <w:pPr>
        <w:spacing w:after="0" w:line="240" w:lineRule="auto"/>
        <w:ind w:firstLine="709"/>
        <w:contextualSpacing/>
        <w:jc w:val="center"/>
        <w:rPr>
          <w:rFonts w:ascii="Times New Roman" w:eastAsia="Calibri" w:hAnsi="Times New Roman" w:cs="Times New Roman"/>
          <w:b/>
          <w:sz w:val="24"/>
          <w:szCs w:val="24"/>
          <w:u w:val="single"/>
        </w:rPr>
      </w:pPr>
    </w:p>
    <w:p w14:paraId="3DFB992D"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u w:val="single"/>
        </w:rPr>
      </w:pPr>
      <w:r w:rsidRPr="000B227F">
        <w:rPr>
          <w:rFonts w:ascii="Times New Roman" w:eastAsia="Calibri" w:hAnsi="Times New Roman" w:cs="Times New Roman"/>
          <w:b/>
          <w:i/>
          <w:sz w:val="24"/>
          <w:szCs w:val="24"/>
          <w:u w:val="single"/>
        </w:rPr>
        <w:t>Цель 8.</w:t>
      </w:r>
      <w:r w:rsidRPr="000B227F">
        <w:rPr>
          <w:rFonts w:ascii="Times New Roman" w:eastAsia="Calibri" w:hAnsi="Times New Roman" w:cs="Times New Roman"/>
          <w:i/>
          <w:sz w:val="24"/>
          <w:szCs w:val="24"/>
          <w:u w:val="single"/>
        </w:rPr>
        <w:t xml:space="preserve"> </w:t>
      </w:r>
      <w:r w:rsidRPr="000B227F">
        <w:rPr>
          <w:rFonts w:ascii="Times New Roman" w:eastAsia="Calibri" w:hAnsi="Times New Roman" w:cs="Times New Roman"/>
          <w:b/>
          <w:i/>
          <w:sz w:val="24"/>
          <w:szCs w:val="24"/>
          <w:u w:val="single"/>
        </w:rPr>
        <w:t>Снижение уровня риска отмывания денег и финансирования терроризма в финансовом секторе</w:t>
      </w:r>
    </w:p>
    <w:p w14:paraId="78302B76"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i/>
          <w:sz w:val="24"/>
          <w:szCs w:val="24"/>
        </w:rPr>
      </w:pPr>
      <w:r w:rsidRPr="000B227F">
        <w:rPr>
          <w:rFonts w:ascii="Times New Roman" w:eastAsia="Calibri" w:hAnsi="Times New Roman" w:cs="Times New Roman"/>
          <w:b/>
          <w:i/>
          <w:sz w:val="24"/>
          <w:szCs w:val="24"/>
        </w:rPr>
        <w:t>Целевой индикатор 1:</w:t>
      </w:r>
      <w:r w:rsidRPr="000B227F">
        <w:rPr>
          <w:rFonts w:ascii="Times New Roman" w:eastAsia="Calibri" w:hAnsi="Times New Roman" w:cs="Times New Roman"/>
          <w:i/>
          <w:sz w:val="24"/>
          <w:szCs w:val="24"/>
        </w:rPr>
        <w:t xml:space="preserve"> </w:t>
      </w:r>
      <w:r w:rsidRPr="000B227F">
        <w:rPr>
          <w:rFonts w:ascii="Times New Roman" w:eastAsia="Calibri" w:hAnsi="Times New Roman" w:cs="Times New Roman"/>
          <w:b/>
          <w:i/>
          <w:sz w:val="24"/>
          <w:szCs w:val="24"/>
        </w:rPr>
        <w:t xml:space="preserve">Риски, связанные с отмыванием доходов в банках второго уровня - 5 баллов </w:t>
      </w:r>
      <w:r w:rsidRPr="000B227F">
        <w:rPr>
          <w:rFonts w:ascii="Times New Roman" w:eastAsia="Calibri" w:hAnsi="Times New Roman" w:cs="Times New Roman"/>
          <w:i/>
          <w:sz w:val="24"/>
          <w:szCs w:val="24"/>
        </w:rPr>
        <w:t>(2020 год – 5 баллов)</w:t>
      </w:r>
    </w:p>
    <w:p w14:paraId="6B003F15" w14:textId="77777777" w:rsidR="001516F0" w:rsidRPr="000B227F" w:rsidRDefault="001516F0" w:rsidP="001516F0">
      <w:pPr>
        <w:spacing w:after="0" w:line="240" w:lineRule="auto"/>
        <w:ind w:firstLine="709"/>
        <w:contextualSpacing/>
        <w:jc w:val="both"/>
        <w:rPr>
          <w:rFonts w:ascii="Times New Roman" w:eastAsia="Calibri" w:hAnsi="Times New Roman" w:cs="Times New Roman"/>
          <w:b/>
          <w:bCs/>
          <w:i/>
          <w:iCs/>
          <w:sz w:val="24"/>
          <w:szCs w:val="24"/>
        </w:rPr>
      </w:pPr>
      <w:r w:rsidRPr="000B227F">
        <w:rPr>
          <w:rFonts w:ascii="Times New Roman" w:eastAsia="Calibri" w:hAnsi="Times New Roman" w:cs="Times New Roman"/>
          <w:b/>
          <w:bCs/>
          <w:i/>
          <w:iCs/>
          <w:sz w:val="24"/>
          <w:szCs w:val="24"/>
        </w:rPr>
        <w:t>Мероприятия для достижения целевого индикатора:</w:t>
      </w:r>
    </w:p>
    <w:p w14:paraId="0380F428"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xml:space="preserve">В рамках мероприятий по снижению уровня риска отмывания денег и финансирования терроризма в финансовом секторе разработаны и приняты 16 нормативных правовых актов и иных документов, в том числе: </w:t>
      </w:r>
    </w:p>
    <w:p w14:paraId="052348D3"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постановление Агентства от 22.03.2020г. № 18</w:t>
      </w:r>
      <w:r w:rsidRPr="000B227F">
        <w:rPr>
          <w:rFonts w:ascii="Times New Roman" w:eastAsia="Times New Roman" w:hAnsi="Times New Roman" w:cs="Times New Roman"/>
          <w:sz w:val="24"/>
          <w:szCs w:val="24"/>
          <w:vertAlign w:val="superscript"/>
          <w:lang w:eastAsia="ru-RU"/>
        </w:rPr>
        <w:footnoteReference w:id="21"/>
      </w:r>
      <w:r w:rsidRPr="000B227F">
        <w:rPr>
          <w:rFonts w:ascii="Times New Roman" w:eastAsia="Times New Roman" w:hAnsi="Times New Roman" w:cs="Times New Roman"/>
          <w:sz w:val="24"/>
          <w:szCs w:val="24"/>
          <w:lang w:eastAsia="ru-RU"/>
        </w:rPr>
        <w:t xml:space="preserve">; </w:t>
      </w:r>
    </w:p>
    <w:p w14:paraId="35AD7329"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постановление Агентства от 12.10.2020г. № 95</w:t>
      </w:r>
      <w:r w:rsidRPr="000B227F">
        <w:rPr>
          <w:rFonts w:ascii="Times New Roman" w:eastAsia="Times New Roman" w:hAnsi="Times New Roman" w:cs="Times New Roman"/>
          <w:sz w:val="24"/>
          <w:szCs w:val="24"/>
          <w:vertAlign w:val="superscript"/>
          <w:lang w:eastAsia="ru-RU"/>
        </w:rPr>
        <w:footnoteReference w:id="22"/>
      </w:r>
      <w:r w:rsidRPr="000B227F">
        <w:rPr>
          <w:rFonts w:ascii="Times New Roman" w:eastAsia="Times New Roman" w:hAnsi="Times New Roman" w:cs="Times New Roman"/>
          <w:sz w:val="24"/>
          <w:szCs w:val="24"/>
          <w:lang w:eastAsia="ru-RU"/>
        </w:rPr>
        <w:t xml:space="preserve">; </w:t>
      </w:r>
    </w:p>
    <w:p w14:paraId="5A27C1B0"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постановление Агентства от 12.10.2020г. № 97</w:t>
      </w:r>
      <w:r w:rsidRPr="000B227F">
        <w:rPr>
          <w:rFonts w:ascii="Times New Roman" w:eastAsia="Times New Roman" w:hAnsi="Times New Roman" w:cs="Times New Roman"/>
          <w:sz w:val="24"/>
          <w:szCs w:val="24"/>
          <w:vertAlign w:val="superscript"/>
          <w:lang w:eastAsia="ru-RU"/>
        </w:rPr>
        <w:footnoteReference w:id="23"/>
      </w:r>
      <w:r w:rsidRPr="000B227F">
        <w:rPr>
          <w:rFonts w:ascii="Times New Roman" w:eastAsia="Times New Roman" w:hAnsi="Times New Roman" w:cs="Times New Roman"/>
          <w:sz w:val="24"/>
          <w:szCs w:val="24"/>
          <w:lang w:eastAsia="ru-RU"/>
        </w:rPr>
        <w:t>;</w:t>
      </w:r>
    </w:p>
    <w:p w14:paraId="423E55F4"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постановление Агентства от 12.10.2020г. № 98</w:t>
      </w:r>
      <w:r w:rsidRPr="000B227F">
        <w:rPr>
          <w:rFonts w:ascii="Times New Roman" w:eastAsia="Times New Roman" w:hAnsi="Times New Roman" w:cs="Times New Roman"/>
          <w:sz w:val="24"/>
          <w:szCs w:val="24"/>
          <w:vertAlign w:val="superscript"/>
          <w:lang w:eastAsia="ru-RU"/>
        </w:rPr>
        <w:footnoteReference w:id="24"/>
      </w:r>
      <w:r w:rsidRPr="000B227F">
        <w:rPr>
          <w:rFonts w:ascii="Times New Roman" w:eastAsia="Times New Roman" w:hAnsi="Times New Roman" w:cs="Times New Roman"/>
          <w:sz w:val="24"/>
          <w:szCs w:val="24"/>
          <w:lang w:eastAsia="ru-RU"/>
        </w:rPr>
        <w:t>;</w:t>
      </w:r>
    </w:p>
    <w:p w14:paraId="6C744363"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постановление Агентства от 29.10.2020г. № 103</w:t>
      </w:r>
      <w:r w:rsidRPr="000B227F">
        <w:rPr>
          <w:rFonts w:ascii="Times New Roman" w:eastAsia="Times New Roman" w:hAnsi="Times New Roman" w:cs="Times New Roman"/>
          <w:sz w:val="24"/>
          <w:szCs w:val="24"/>
          <w:vertAlign w:val="superscript"/>
          <w:lang w:eastAsia="ru-RU"/>
        </w:rPr>
        <w:footnoteReference w:id="25"/>
      </w:r>
      <w:r w:rsidRPr="000B227F">
        <w:rPr>
          <w:rFonts w:ascii="Times New Roman" w:eastAsia="Times New Roman" w:hAnsi="Times New Roman" w:cs="Times New Roman"/>
          <w:sz w:val="24"/>
          <w:szCs w:val="24"/>
          <w:lang w:eastAsia="ru-RU"/>
        </w:rPr>
        <w:t xml:space="preserve">; </w:t>
      </w:r>
    </w:p>
    <w:p w14:paraId="434A0D53"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совместные постановления Правления НБРК от 21.04.2020г. №51</w:t>
      </w:r>
      <w:r w:rsidRPr="000B227F">
        <w:rPr>
          <w:rFonts w:ascii="Times New Roman" w:eastAsia="Times New Roman" w:hAnsi="Times New Roman" w:cs="Times New Roman"/>
          <w:sz w:val="24"/>
          <w:szCs w:val="24"/>
          <w:vertAlign w:val="superscript"/>
          <w:lang w:eastAsia="ru-RU"/>
        </w:rPr>
        <w:footnoteReference w:id="26"/>
      </w:r>
      <w:r w:rsidRPr="000B227F">
        <w:rPr>
          <w:rFonts w:ascii="Times New Roman" w:eastAsia="Times New Roman" w:hAnsi="Times New Roman" w:cs="Times New Roman"/>
          <w:sz w:val="24"/>
          <w:szCs w:val="24"/>
          <w:lang w:eastAsia="ru-RU"/>
        </w:rPr>
        <w:t>;</w:t>
      </w:r>
    </w:p>
    <w:p w14:paraId="0AEDF369"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приказ Председателя Агентства от 06.10.2020г. № 384</w:t>
      </w:r>
      <w:r w:rsidRPr="000B227F">
        <w:rPr>
          <w:rFonts w:ascii="Times New Roman" w:eastAsia="Times New Roman" w:hAnsi="Times New Roman" w:cs="Times New Roman"/>
          <w:sz w:val="24"/>
          <w:szCs w:val="24"/>
          <w:vertAlign w:val="superscript"/>
          <w:lang w:eastAsia="ru-RU"/>
        </w:rPr>
        <w:footnoteReference w:id="27"/>
      </w:r>
      <w:r w:rsidRPr="000B227F">
        <w:rPr>
          <w:rFonts w:ascii="Times New Roman" w:eastAsia="Times New Roman" w:hAnsi="Times New Roman" w:cs="Times New Roman"/>
          <w:sz w:val="24"/>
          <w:szCs w:val="24"/>
          <w:lang w:eastAsia="ru-RU"/>
        </w:rPr>
        <w:t>;</w:t>
      </w:r>
    </w:p>
    <w:p w14:paraId="659FB6D8"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t>- приказ Председателя Агентства от 07.10.2020г. № 388</w:t>
      </w:r>
      <w:r w:rsidRPr="000B227F">
        <w:rPr>
          <w:rFonts w:ascii="Times New Roman" w:eastAsia="Times New Roman" w:hAnsi="Times New Roman" w:cs="Times New Roman"/>
          <w:sz w:val="24"/>
          <w:szCs w:val="24"/>
          <w:vertAlign w:val="superscript"/>
          <w:lang w:eastAsia="ru-RU"/>
        </w:rPr>
        <w:footnoteReference w:id="28"/>
      </w:r>
      <w:r w:rsidRPr="000B227F">
        <w:rPr>
          <w:rFonts w:ascii="Times New Roman" w:eastAsia="Times New Roman" w:hAnsi="Times New Roman" w:cs="Times New Roman"/>
          <w:sz w:val="24"/>
          <w:szCs w:val="24"/>
          <w:lang w:eastAsia="ru-RU"/>
        </w:rPr>
        <w:t xml:space="preserve">; </w:t>
      </w:r>
    </w:p>
    <w:p w14:paraId="3B36630C"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Times New Roman" w:hAnsi="Times New Roman" w:cs="Times New Roman"/>
          <w:sz w:val="24"/>
          <w:szCs w:val="24"/>
          <w:lang w:eastAsia="ru-RU"/>
        </w:rPr>
        <w:lastRenderedPageBreak/>
        <w:t>- приказ Председателя Агентства от 14.01.2021г. № 19</w:t>
      </w:r>
      <w:r w:rsidRPr="000B227F">
        <w:rPr>
          <w:rFonts w:ascii="Times New Roman" w:eastAsia="Times New Roman" w:hAnsi="Times New Roman" w:cs="Times New Roman"/>
          <w:sz w:val="24"/>
          <w:szCs w:val="24"/>
          <w:vertAlign w:val="superscript"/>
          <w:lang w:eastAsia="ru-RU"/>
        </w:rPr>
        <w:footnoteReference w:id="29"/>
      </w:r>
      <w:r w:rsidRPr="000B227F">
        <w:rPr>
          <w:rFonts w:ascii="Times New Roman" w:eastAsia="Times New Roman" w:hAnsi="Times New Roman" w:cs="Times New Roman"/>
          <w:sz w:val="24"/>
          <w:szCs w:val="24"/>
          <w:lang w:eastAsia="ru-RU"/>
        </w:rPr>
        <w:t xml:space="preserve">. </w:t>
      </w:r>
    </w:p>
    <w:p w14:paraId="30829063" w14:textId="77777777" w:rsidR="001516F0" w:rsidRPr="000B227F" w:rsidRDefault="001516F0" w:rsidP="001516F0">
      <w:pPr>
        <w:spacing w:after="0" w:line="240" w:lineRule="auto"/>
        <w:ind w:firstLine="709"/>
        <w:jc w:val="both"/>
        <w:rPr>
          <w:rFonts w:ascii="Times New Roman" w:eastAsia="Times New Roman" w:hAnsi="Times New Roman" w:cs="Times New Roman"/>
          <w:sz w:val="24"/>
          <w:szCs w:val="24"/>
          <w:lang w:eastAsia="ru-RU"/>
        </w:rPr>
      </w:pPr>
      <w:r w:rsidRPr="000B227F">
        <w:rPr>
          <w:rFonts w:ascii="Times New Roman" w:eastAsia="Calibri" w:hAnsi="Times New Roman" w:cs="Times New Roman"/>
          <w:sz w:val="24"/>
          <w:szCs w:val="24"/>
          <w:lang w:eastAsia="ru-RU"/>
        </w:rPr>
        <w:t>В рамках Плана мероприятий по противодействию незаконной деятельности на финансовом рынке, утвержденного Приказом Председателя Агентства от 06.05.2020г. № 210 выявлены компании, имеющие признаки финансовых пирамид, по которым:</w:t>
      </w:r>
    </w:p>
    <w:p w14:paraId="1BE9F551" w14:textId="0B9E8CD4"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xml:space="preserve">- по 25 компаниям информация направлена в Министерство внутренних дел Республики Казахстан, по 51 – в Генеральную прокуратуру Республики Казахстан и Департамент экономических расследований Комитета по финансовому мониторингу прим Министерство </w:t>
      </w:r>
      <w:bookmarkStart w:id="0" w:name="_GoBack"/>
      <w:bookmarkEnd w:id="0"/>
      <w:r w:rsidR="00657A2A" w:rsidRPr="000B227F">
        <w:rPr>
          <w:rFonts w:ascii="Times New Roman" w:eastAsia="Calibri" w:hAnsi="Times New Roman" w:cs="Times New Roman"/>
          <w:sz w:val="24"/>
          <w:szCs w:val="24"/>
          <w:lang w:eastAsia="ru-RU"/>
        </w:rPr>
        <w:t>финансов</w:t>
      </w:r>
      <w:r w:rsidR="00657A2A" w:rsidRPr="000B227F" w:rsidDel="00956A12">
        <w:rPr>
          <w:rFonts w:ascii="Times New Roman" w:eastAsia="Calibri" w:hAnsi="Times New Roman" w:cs="Times New Roman"/>
          <w:sz w:val="24"/>
          <w:szCs w:val="24"/>
          <w:lang w:eastAsia="ru-RU"/>
        </w:rPr>
        <w:t xml:space="preserve"> </w:t>
      </w:r>
      <w:r w:rsidR="00657A2A" w:rsidRPr="000B227F">
        <w:rPr>
          <w:rFonts w:ascii="Times New Roman" w:eastAsia="Calibri" w:hAnsi="Times New Roman" w:cs="Times New Roman"/>
          <w:sz w:val="24"/>
          <w:szCs w:val="24"/>
          <w:lang w:eastAsia="ru-RU"/>
        </w:rPr>
        <w:t>Республики</w:t>
      </w:r>
      <w:r w:rsidRPr="000B227F">
        <w:rPr>
          <w:rFonts w:ascii="Times New Roman" w:eastAsia="Calibri" w:hAnsi="Times New Roman" w:cs="Times New Roman"/>
          <w:sz w:val="24"/>
          <w:szCs w:val="24"/>
          <w:lang w:eastAsia="ru-RU"/>
        </w:rPr>
        <w:t xml:space="preserve"> Казахстан.</w:t>
      </w:r>
    </w:p>
    <w:p w14:paraId="7974E59C"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xml:space="preserve">- приняты меры по блокировке </w:t>
      </w:r>
      <w:proofErr w:type="spellStart"/>
      <w:r w:rsidRPr="000B227F">
        <w:rPr>
          <w:rFonts w:ascii="Times New Roman" w:eastAsia="Calibri" w:hAnsi="Times New Roman" w:cs="Times New Roman"/>
          <w:sz w:val="24"/>
          <w:szCs w:val="24"/>
          <w:lang w:eastAsia="ru-RU"/>
        </w:rPr>
        <w:t>интернет-ресурсов</w:t>
      </w:r>
      <w:proofErr w:type="spellEnd"/>
      <w:r w:rsidRPr="000B227F">
        <w:rPr>
          <w:rFonts w:ascii="Times New Roman" w:eastAsia="Calibri" w:hAnsi="Times New Roman" w:cs="Times New Roman"/>
          <w:sz w:val="24"/>
          <w:szCs w:val="24"/>
          <w:lang w:eastAsia="ru-RU"/>
        </w:rPr>
        <w:t xml:space="preserve"> через Министерство информации и общественного развития</w:t>
      </w:r>
      <w:r w:rsidRPr="000B227F" w:rsidDel="00956A12">
        <w:rPr>
          <w:rFonts w:ascii="Times New Roman" w:eastAsia="Calibri" w:hAnsi="Times New Roman" w:cs="Times New Roman"/>
          <w:sz w:val="24"/>
          <w:szCs w:val="24"/>
          <w:lang w:eastAsia="ru-RU"/>
        </w:rPr>
        <w:t xml:space="preserve"> </w:t>
      </w:r>
      <w:r w:rsidRPr="000B227F">
        <w:rPr>
          <w:rFonts w:ascii="Times New Roman" w:eastAsia="Calibri" w:hAnsi="Times New Roman" w:cs="Times New Roman"/>
          <w:sz w:val="24"/>
          <w:szCs w:val="24"/>
          <w:lang w:eastAsia="ru-RU"/>
        </w:rPr>
        <w:t>Республики Казахстан 18 субъектов, имеющих явные признаки финансовых пирамид.</w:t>
      </w:r>
    </w:p>
    <w:p w14:paraId="149992ED"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xml:space="preserve">Во исполнение поручений Президента Республики Казахстан по итогам совещания от 26.02.2020г. «О ситуации вокруг деятельности ряда финансовых организаций, повлекшей общественный резонанс» проведены проверки 2 095 финансовых организаций. </w:t>
      </w:r>
    </w:p>
    <w:p w14:paraId="62A64E4F"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xml:space="preserve">По фактам нарушений законодательства по ПОД/ФТ применены следующие меры надзорного реагирования: </w:t>
      </w:r>
    </w:p>
    <w:p w14:paraId="21172017"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xml:space="preserve">- в отношении банков составлено 689 протоколов об административном правонарушении, наложены штрафы на сумму 76,5 млн. тенге; </w:t>
      </w:r>
    </w:p>
    <w:p w14:paraId="0F36E1B5"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в отношении профессиональных участников рынка ценных бумаг составлено 4 протокола и наложены штрафы на сумму 2 млн. тенге;</w:t>
      </w:r>
    </w:p>
    <w:p w14:paraId="477D9DF1"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r w:rsidRPr="000B227F">
        <w:rPr>
          <w:rFonts w:ascii="Times New Roman" w:eastAsia="Calibri" w:hAnsi="Times New Roman" w:cs="Times New Roman"/>
          <w:sz w:val="24"/>
          <w:szCs w:val="24"/>
          <w:lang w:eastAsia="ru-RU"/>
        </w:rPr>
        <w:t>- в отношении страховых организаций составлено 37 протоколов об административном правонарушении, наложены штрафы на сумму 23 млн. тенге.</w:t>
      </w:r>
    </w:p>
    <w:p w14:paraId="39210171" w14:textId="77777777" w:rsidR="001516F0" w:rsidRPr="000B227F" w:rsidRDefault="001516F0" w:rsidP="001516F0">
      <w:pPr>
        <w:spacing w:after="0" w:line="240" w:lineRule="auto"/>
        <w:ind w:firstLine="709"/>
        <w:jc w:val="both"/>
        <w:rPr>
          <w:rFonts w:ascii="Times New Roman" w:eastAsia="Calibri" w:hAnsi="Times New Roman" w:cs="Times New Roman"/>
          <w:sz w:val="24"/>
          <w:szCs w:val="24"/>
          <w:lang w:eastAsia="ru-RU"/>
        </w:rPr>
      </w:pPr>
    </w:p>
    <w:p w14:paraId="42410C31" w14:textId="77777777" w:rsidR="001516F0" w:rsidRPr="000B227F" w:rsidRDefault="001516F0" w:rsidP="001516F0">
      <w:pPr>
        <w:spacing w:after="0" w:line="240" w:lineRule="auto"/>
        <w:contextualSpacing/>
        <w:jc w:val="center"/>
        <w:rPr>
          <w:rFonts w:ascii="Times New Roman" w:hAnsi="Times New Roman" w:cs="Times New Roman"/>
          <w:b/>
          <w:sz w:val="24"/>
          <w:szCs w:val="24"/>
        </w:rPr>
      </w:pPr>
      <w:r w:rsidRPr="000B227F">
        <w:rPr>
          <w:rFonts w:ascii="Times New Roman" w:hAnsi="Times New Roman" w:cs="Times New Roman"/>
          <w:b/>
          <w:sz w:val="24"/>
          <w:szCs w:val="24"/>
        </w:rPr>
        <w:t>Сведения о проведенных контрольных мероприятиях, государственном аудите и экспертно-аналитических мероприятиях</w:t>
      </w:r>
    </w:p>
    <w:p w14:paraId="547D79DC" w14:textId="77777777" w:rsidR="001516F0" w:rsidRPr="000B227F" w:rsidRDefault="001516F0" w:rsidP="001516F0">
      <w:pPr>
        <w:spacing w:after="0" w:line="240" w:lineRule="auto"/>
        <w:contextualSpacing/>
        <w:jc w:val="center"/>
        <w:rPr>
          <w:rFonts w:ascii="Times New Roman" w:hAnsi="Times New Roman" w:cs="Times New Roman"/>
          <w:b/>
          <w:sz w:val="24"/>
          <w:szCs w:val="24"/>
        </w:rPr>
      </w:pPr>
    </w:p>
    <w:p w14:paraId="6CB8C064" w14:textId="77777777" w:rsidR="001516F0" w:rsidRPr="000B227F" w:rsidRDefault="001516F0" w:rsidP="001516F0">
      <w:pPr>
        <w:spacing w:after="0" w:line="240" w:lineRule="auto"/>
        <w:ind w:firstLine="709"/>
        <w:jc w:val="both"/>
        <w:rPr>
          <w:rFonts w:ascii="Times New Roman" w:hAnsi="Times New Roman" w:cs="Times New Roman"/>
          <w:b/>
          <w:sz w:val="24"/>
          <w:szCs w:val="24"/>
        </w:rPr>
      </w:pPr>
      <w:r w:rsidRPr="000B227F">
        <w:rPr>
          <w:rFonts w:ascii="Times New Roman" w:eastAsia="Calibri" w:hAnsi="Times New Roman" w:cs="Times New Roman"/>
          <w:sz w:val="24"/>
          <w:szCs w:val="24"/>
          <w:lang w:eastAsia="ru-RU"/>
        </w:rPr>
        <w:t>В отчетном периоде в отношении Агентства контрольные мероприятия, государственный аудит и экспертно-аналитические мероприятия не проводились.</w:t>
      </w:r>
      <w:r w:rsidRPr="000B227F">
        <w:rPr>
          <w:rFonts w:ascii="Times New Roman" w:hAnsi="Times New Roman" w:cs="Times New Roman"/>
          <w:b/>
          <w:sz w:val="24"/>
          <w:szCs w:val="24"/>
        </w:rPr>
        <w:t xml:space="preserve">  </w:t>
      </w:r>
    </w:p>
    <w:p w14:paraId="06B9A382" w14:textId="77777777" w:rsidR="001516F0" w:rsidRPr="000B227F" w:rsidRDefault="001516F0" w:rsidP="001516F0">
      <w:pPr>
        <w:spacing w:after="0" w:line="240" w:lineRule="auto"/>
        <w:ind w:firstLine="709"/>
        <w:contextualSpacing/>
        <w:jc w:val="center"/>
        <w:rPr>
          <w:rFonts w:ascii="Times New Roman" w:hAnsi="Times New Roman" w:cs="Times New Roman"/>
          <w:b/>
          <w:sz w:val="24"/>
          <w:szCs w:val="24"/>
        </w:rPr>
      </w:pPr>
    </w:p>
    <w:p w14:paraId="1AC26A5A" w14:textId="77777777" w:rsidR="001516F0" w:rsidRPr="000B227F" w:rsidRDefault="001516F0" w:rsidP="001516F0">
      <w:pPr>
        <w:spacing w:after="0" w:line="240" w:lineRule="auto"/>
        <w:contextualSpacing/>
        <w:jc w:val="center"/>
        <w:rPr>
          <w:rFonts w:ascii="Times New Roman" w:hAnsi="Times New Roman" w:cs="Times New Roman"/>
          <w:b/>
          <w:sz w:val="24"/>
          <w:szCs w:val="24"/>
        </w:rPr>
      </w:pPr>
      <w:r w:rsidRPr="000B227F">
        <w:rPr>
          <w:rFonts w:ascii="Times New Roman" w:hAnsi="Times New Roman" w:cs="Times New Roman"/>
          <w:b/>
          <w:sz w:val="24"/>
          <w:szCs w:val="24"/>
        </w:rPr>
        <w:t>Выводы об итогах реализации Стратегического плана</w:t>
      </w:r>
    </w:p>
    <w:p w14:paraId="2F76B40C"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p>
    <w:p w14:paraId="77E5F06C"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Результаты проведенного анализа свидетельствуют о том, что Агентством за 2020 год в целом выполнены запланированные цели и целевые индикаторы по основным стратегическим направлениям деятельности Агентства, отраженным в Стратегическом плане Агентства на 2020 - 2024 годы.</w:t>
      </w:r>
    </w:p>
    <w:p w14:paraId="4B4544B0" w14:textId="77777777" w:rsidR="001516F0" w:rsidRPr="000B227F" w:rsidRDefault="001516F0" w:rsidP="001516F0">
      <w:pPr>
        <w:spacing w:after="0" w:line="240" w:lineRule="auto"/>
        <w:ind w:firstLine="709"/>
        <w:contextualSpacing/>
        <w:jc w:val="both"/>
        <w:rPr>
          <w:rFonts w:ascii="Times New Roman" w:hAnsi="Times New Roman" w:cs="Times New Roman"/>
          <w:b/>
          <w:sz w:val="24"/>
          <w:szCs w:val="24"/>
        </w:rPr>
      </w:pPr>
    </w:p>
    <w:p w14:paraId="3B68EBAE" w14:textId="77777777" w:rsidR="001516F0" w:rsidRPr="000B227F" w:rsidRDefault="001516F0" w:rsidP="001516F0">
      <w:pPr>
        <w:spacing w:after="0" w:line="240" w:lineRule="auto"/>
        <w:contextualSpacing/>
        <w:jc w:val="center"/>
        <w:rPr>
          <w:rFonts w:ascii="Times New Roman" w:hAnsi="Times New Roman" w:cs="Times New Roman"/>
          <w:b/>
          <w:sz w:val="24"/>
          <w:szCs w:val="24"/>
        </w:rPr>
      </w:pPr>
      <w:r w:rsidRPr="000B227F">
        <w:rPr>
          <w:rFonts w:ascii="Times New Roman" w:hAnsi="Times New Roman" w:cs="Times New Roman"/>
          <w:b/>
          <w:sz w:val="24"/>
          <w:szCs w:val="24"/>
        </w:rPr>
        <w:t>Предложения</w:t>
      </w:r>
    </w:p>
    <w:p w14:paraId="43264096" w14:textId="77777777" w:rsidR="001516F0" w:rsidRPr="000B227F" w:rsidRDefault="001516F0" w:rsidP="001516F0">
      <w:pPr>
        <w:spacing w:after="0" w:line="240" w:lineRule="auto"/>
        <w:ind w:firstLine="709"/>
        <w:contextualSpacing/>
        <w:jc w:val="center"/>
        <w:rPr>
          <w:rFonts w:ascii="Times New Roman" w:hAnsi="Times New Roman" w:cs="Times New Roman"/>
          <w:b/>
          <w:sz w:val="24"/>
          <w:szCs w:val="24"/>
        </w:rPr>
      </w:pPr>
    </w:p>
    <w:p w14:paraId="2D88942F" w14:textId="77777777" w:rsidR="001516F0" w:rsidRPr="000B227F" w:rsidRDefault="001516F0" w:rsidP="001516F0">
      <w:pPr>
        <w:spacing w:after="0" w:line="240" w:lineRule="auto"/>
        <w:ind w:firstLine="709"/>
        <w:contextualSpacing/>
        <w:jc w:val="both"/>
        <w:rPr>
          <w:rFonts w:ascii="Times New Roman" w:hAnsi="Times New Roman" w:cs="Times New Roman"/>
          <w:sz w:val="24"/>
          <w:szCs w:val="24"/>
        </w:rPr>
      </w:pPr>
      <w:r w:rsidRPr="000B227F">
        <w:rPr>
          <w:rFonts w:ascii="Times New Roman" w:hAnsi="Times New Roman" w:cs="Times New Roman"/>
          <w:sz w:val="24"/>
          <w:szCs w:val="24"/>
        </w:rPr>
        <w:t xml:space="preserve">Продолжить дальнейшую работу по реализации Стратегического плана Агентства по выполнению запланированных к достижению целевых индикаторов по основным стратегическим направлениям деятельности Агентства. </w:t>
      </w:r>
    </w:p>
    <w:p w14:paraId="6BA992CF" w14:textId="77777777" w:rsidR="001516F0" w:rsidRPr="000B227F" w:rsidRDefault="001516F0" w:rsidP="001516F0">
      <w:pPr>
        <w:spacing w:after="0" w:line="240" w:lineRule="auto"/>
        <w:ind w:firstLine="709"/>
        <w:contextualSpacing/>
        <w:jc w:val="center"/>
        <w:rPr>
          <w:rFonts w:ascii="Times New Roman" w:hAnsi="Times New Roman" w:cs="Times New Roman"/>
          <w:b/>
          <w:sz w:val="24"/>
          <w:szCs w:val="24"/>
        </w:rPr>
      </w:pPr>
    </w:p>
    <w:p w14:paraId="6371F0D4" w14:textId="77777777" w:rsidR="001516F0" w:rsidRPr="000B227F" w:rsidRDefault="001516F0" w:rsidP="001516F0">
      <w:pPr>
        <w:widowControl w:val="0"/>
        <w:spacing w:after="0" w:line="240" w:lineRule="auto"/>
        <w:ind w:firstLine="709"/>
        <w:jc w:val="both"/>
        <w:rPr>
          <w:rFonts w:ascii="Times New Roman" w:hAnsi="Times New Roman" w:cs="Times New Roman"/>
          <w:sz w:val="24"/>
          <w:szCs w:val="24"/>
        </w:rPr>
      </w:pPr>
    </w:p>
    <w:p w14:paraId="3C08D865" w14:textId="63EF8402" w:rsidR="001516F0" w:rsidRPr="000B227F" w:rsidRDefault="001516F0" w:rsidP="009205B6">
      <w:pPr>
        <w:spacing w:after="0" w:line="240" w:lineRule="auto"/>
        <w:ind w:firstLine="709"/>
        <w:jc w:val="both"/>
        <w:rPr>
          <w:rFonts w:ascii="Times New Roman" w:hAnsi="Times New Roman" w:cs="Times New Roman"/>
          <w:sz w:val="24"/>
          <w:szCs w:val="24"/>
        </w:rPr>
      </w:pPr>
      <w:r w:rsidRPr="000B227F">
        <w:rPr>
          <w:rFonts w:ascii="Times New Roman" w:eastAsia="Times New Roman" w:hAnsi="Times New Roman" w:cs="Times New Roman"/>
          <w:b/>
          <w:bCs/>
          <w:sz w:val="24"/>
          <w:szCs w:val="24"/>
          <w:lang w:eastAsia="ru-RU"/>
        </w:rPr>
        <w:t>Председатель</w:t>
      </w:r>
      <w:r w:rsidRPr="000B227F">
        <w:rPr>
          <w:rFonts w:ascii="Times New Roman" w:eastAsia="Times New Roman" w:hAnsi="Times New Roman" w:cs="Times New Roman"/>
          <w:b/>
          <w:bCs/>
          <w:sz w:val="24"/>
          <w:szCs w:val="24"/>
          <w:lang w:eastAsia="ru-RU"/>
        </w:rPr>
        <w:tab/>
      </w:r>
      <w:r w:rsidRPr="000B227F">
        <w:rPr>
          <w:rFonts w:ascii="Times New Roman" w:eastAsia="Times New Roman" w:hAnsi="Times New Roman" w:cs="Times New Roman"/>
          <w:b/>
          <w:bCs/>
          <w:sz w:val="24"/>
          <w:szCs w:val="24"/>
          <w:lang w:eastAsia="ru-RU"/>
        </w:rPr>
        <w:tab/>
      </w:r>
      <w:r w:rsidRPr="000B227F">
        <w:rPr>
          <w:rFonts w:ascii="Times New Roman" w:eastAsia="Times New Roman" w:hAnsi="Times New Roman" w:cs="Times New Roman"/>
          <w:b/>
          <w:bCs/>
          <w:sz w:val="24"/>
          <w:szCs w:val="24"/>
          <w:lang w:eastAsia="ru-RU"/>
        </w:rPr>
        <w:tab/>
        <w:t xml:space="preserve">          </w:t>
      </w:r>
      <w:r w:rsidRPr="000B227F">
        <w:rPr>
          <w:rFonts w:ascii="Times New Roman" w:eastAsia="Times New Roman" w:hAnsi="Times New Roman" w:cs="Times New Roman"/>
          <w:b/>
          <w:bCs/>
          <w:sz w:val="24"/>
          <w:szCs w:val="24"/>
          <w:lang w:eastAsia="ru-RU"/>
        </w:rPr>
        <w:tab/>
      </w:r>
      <w:r w:rsidRPr="000B227F">
        <w:rPr>
          <w:rFonts w:ascii="Times New Roman" w:eastAsia="Times New Roman" w:hAnsi="Times New Roman" w:cs="Times New Roman"/>
          <w:b/>
          <w:bCs/>
          <w:sz w:val="24"/>
          <w:szCs w:val="24"/>
          <w:lang w:eastAsia="ru-RU"/>
        </w:rPr>
        <w:tab/>
        <w:t xml:space="preserve">                  </w:t>
      </w:r>
      <w:r w:rsidRPr="000B227F">
        <w:rPr>
          <w:rFonts w:ascii="Times New Roman" w:eastAsia="Times New Roman" w:hAnsi="Times New Roman" w:cs="Times New Roman"/>
          <w:b/>
          <w:iCs/>
          <w:sz w:val="24"/>
          <w:szCs w:val="24"/>
          <w:lang w:eastAsia="ru-RU"/>
        </w:rPr>
        <w:t xml:space="preserve">М. </w:t>
      </w:r>
      <w:proofErr w:type="spellStart"/>
      <w:r w:rsidRPr="000B227F">
        <w:rPr>
          <w:rFonts w:ascii="Times New Roman" w:eastAsia="Times New Roman" w:hAnsi="Times New Roman" w:cs="Times New Roman"/>
          <w:b/>
          <w:iCs/>
          <w:sz w:val="24"/>
          <w:szCs w:val="24"/>
          <w:lang w:eastAsia="ru-RU"/>
        </w:rPr>
        <w:t>Абылкасымова</w:t>
      </w:r>
      <w:proofErr w:type="spellEnd"/>
    </w:p>
    <w:sectPr w:rsidR="001516F0" w:rsidRPr="000B227F" w:rsidSect="001516F0">
      <w:head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1CE31" w14:textId="77777777" w:rsidR="00CA51F0" w:rsidRDefault="00CA51F0" w:rsidP="00D24DCE">
      <w:pPr>
        <w:spacing w:after="0" w:line="240" w:lineRule="auto"/>
      </w:pPr>
      <w:r>
        <w:separator/>
      </w:r>
    </w:p>
  </w:endnote>
  <w:endnote w:type="continuationSeparator" w:id="0">
    <w:p w14:paraId="0A1457FF" w14:textId="77777777" w:rsidR="00CA51F0" w:rsidRDefault="00CA51F0" w:rsidP="00D2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04970" w14:textId="77777777" w:rsidR="00CA51F0" w:rsidRDefault="00CA51F0" w:rsidP="00D24DCE">
      <w:pPr>
        <w:spacing w:after="0" w:line="240" w:lineRule="auto"/>
      </w:pPr>
      <w:r>
        <w:separator/>
      </w:r>
    </w:p>
  </w:footnote>
  <w:footnote w:type="continuationSeparator" w:id="0">
    <w:p w14:paraId="2F3491C9" w14:textId="77777777" w:rsidR="00CA51F0" w:rsidRDefault="00CA51F0" w:rsidP="00D24DCE">
      <w:pPr>
        <w:spacing w:after="0" w:line="240" w:lineRule="auto"/>
      </w:pPr>
      <w:r>
        <w:continuationSeparator/>
      </w:r>
    </w:p>
  </w:footnote>
  <w:footnote w:id="1">
    <w:p w14:paraId="4E0C186D" w14:textId="77777777" w:rsidR="009205B6" w:rsidRPr="00DC6B63" w:rsidRDefault="009205B6" w:rsidP="009205B6">
      <w:pPr>
        <w:pStyle w:val="a6"/>
        <w:rPr>
          <w:rFonts w:ascii="Times New Roman" w:hAnsi="Times New Roman"/>
          <w:sz w:val="14"/>
          <w:szCs w:val="14"/>
        </w:rPr>
      </w:pPr>
      <w:r w:rsidRPr="00DC6B63">
        <w:rPr>
          <w:rStyle w:val="a5"/>
          <w:sz w:val="14"/>
          <w:szCs w:val="14"/>
        </w:rPr>
        <w:footnoteRef/>
      </w:r>
      <w:r w:rsidRPr="00DC6B63">
        <w:rPr>
          <w:rFonts w:ascii="Times New Roman" w:hAnsi="Times New Roman"/>
          <w:sz w:val="14"/>
          <w:szCs w:val="14"/>
        </w:rPr>
        <w:t xml:space="preserve"> Предварительные данные на 01.01.2021г. </w:t>
      </w:r>
    </w:p>
  </w:footnote>
  <w:footnote w:id="2">
    <w:p w14:paraId="6FFA6470"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Правления Агентства от 22.12.2020г. № 126 «О внесении изменений и дополнений в постановление Правления НБРК от 27.08.2018г. №198 «Об утверждении Правил формирования системы управления рисками и внутреннего контроля для страховых (перестраховочных) организаций»</w:t>
      </w:r>
    </w:p>
  </w:footnote>
  <w:footnote w:id="3">
    <w:p w14:paraId="73EC10E6" w14:textId="77777777" w:rsidR="005813D2" w:rsidRDefault="005813D2" w:rsidP="001516F0">
      <w:pPr>
        <w:pStyle w:val="a6"/>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Правления Агентства от 29.07.2020г. № 68 «О внесении изменений и дополнения в некоторые нормативные правовые акты Республики Казахстан по вопросам регулирования финансового рынка»</w:t>
      </w:r>
    </w:p>
  </w:footnote>
  <w:footnote w:id="4">
    <w:p w14:paraId="42513D44" w14:textId="77777777" w:rsidR="005813D2" w:rsidRPr="000028AF" w:rsidRDefault="005813D2" w:rsidP="001516F0">
      <w:pPr>
        <w:spacing w:after="0"/>
        <w:jc w:val="both"/>
        <w:rPr>
          <w:rFonts w:ascii="Times New Roman" w:eastAsia="Calibri" w:hAnsi="Times New Roman" w:cs="Times New Roman"/>
          <w:sz w:val="14"/>
          <w:szCs w:val="14"/>
        </w:rPr>
      </w:pPr>
      <w:r w:rsidRPr="000028AF">
        <w:rPr>
          <w:rStyle w:val="a5"/>
          <w:rFonts w:ascii="Times New Roman" w:hAnsi="Times New Roman" w:cs="Times New Roman"/>
          <w:sz w:val="14"/>
          <w:szCs w:val="14"/>
        </w:rPr>
        <w:footnoteRef/>
      </w:r>
      <w:r w:rsidRPr="000028AF">
        <w:rPr>
          <w:rFonts w:ascii="Times New Roman" w:eastAsia="Calibri" w:hAnsi="Times New Roman" w:cs="Times New Roman"/>
          <w:sz w:val="14"/>
          <w:szCs w:val="14"/>
        </w:rPr>
        <w:t xml:space="preserve">Приказ Председателя Агентства Республики Казахстан по регулированию и развитию финансового рынка от 26.03.2020г. № 167 «Об утверждении Порядка приостановления выплат сумм основного долга и вознаграждения по займам населения, малого и среднего бизнеса, пострадавших в результате введения чрезвычайного положения» </w:t>
      </w:r>
    </w:p>
  </w:footnote>
  <w:footnote w:id="5">
    <w:p w14:paraId="41A84154" w14:textId="77777777" w:rsidR="005813D2" w:rsidRPr="00FE2773" w:rsidRDefault="005813D2" w:rsidP="001516F0">
      <w:pPr>
        <w:spacing w:after="0" w:line="240" w:lineRule="auto"/>
        <w:jc w:val="both"/>
        <w:rPr>
          <w:rFonts w:ascii="Times New Roman" w:hAnsi="Times New Roman" w:cs="Times New Roman"/>
          <w:b/>
          <w:sz w:val="14"/>
          <w:szCs w:val="16"/>
        </w:rPr>
      </w:pPr>
      <w:r w:rsidRPr="000028AF">
        <w:rPr>
          <w:rStyle w:val="a5"/>
          <w:rFonts w:ascii="Times New Roman" w:hAnsi="Times New Roman" w:cs="Times New Roman"/>
          <w:sz w:val="14"/>
          <w:szCs w:val="14"/>
        </w:rPr>
        <w:footnoteRef/>
      </w:r>
      <w:r w:rsidRPr="000028AF">
        <w:rPr>
          <w:rFonts w:ascii="Times New Roman" w:hAnsi="Times New Roman" w:cs="Times New Roman"/>
          <w:sz w:val="14"/>
          <w:szCs w:val="14"/>
        </w:rPr>
        <w:t xml:space="preserve"> Приказ Председателя Агентства Республики Казахстан по регулированию и развитию финансового рынка от 15.06.2020г. № 251 «О дополнительных мерах поддержки субъектов малого и среднего предпринимательства»</w:t>
      </w:r>
      <w:r w:rsidRPr="00FE2773">
        <w:rPr>
          <w:rFonts w:ascii="Times New Roman" w:hAnsi="Times New Roman" w:cs="Times New Roman"/>
          <w:sz w:val="14"/>
        </w:rPr>
        <w:t xml:space="preserve"> </w:t>
      </w:r>
    </w:p>
  </w:footnote>
  <w:footnote w:id="6">
    <w:p w14:paraId="6EDF155F"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Правления Агентство от 22.03.2020г. № 19 «О приостановлении действия отдельных норм некоторых нормативных правовых актов РК по вопросам регулирования финансового рынка и внесении изменения в постановление Правления НБРК  от 27.03.2017г. № 53 «Об утверждении условий и минимальных требований к порядку предоставления информации поставщиками информации в кредитные бюро, Правил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а также Правил и условий предоставления кредитного отчета»</w:t>
      </w:r>
    </w:p>
  </w:footnote>
  <w:footnote w:id="7">
    <w:p w14:paraId="7F43BFE4"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Правления Агентства от 18.06.2020г. № 66 «О внесении изменений и дополнения в некоторые нормативные правовые акты РК и приостановлении действия отдельных норм некоторых нормативных правовых актов РК по вопросам регулирования финансового рынка»</w:t>
      </w:r>
    </w:p>
  </w:footnote>
  <w:footnote w:id="8">
    <w:p w14:paraId="65257AB2"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Правления Агентства от 30.10.2020г. №106 «О внесении изменений и дополнения в некоторые нормативные правовые акты РК и приостановлении действия отдельных норм некоторых нормативных правовых актов РК по вопросам регулирования финансового рынка»</w:t>
      </w:r>
    </w:p>
  </w:footnote>
  <w:footnote w:id="9">
    <w:p w14:paraId="69E0FC04" w14:textId="77777777" w:rsidR="005813D2" w:rsidRPr="000028AF" w:rsidRDefault="005813D2" w:rsidP="001516F0">
      <w:pPr>
        <w:widowControl w:val="0"/>
        <w:spacing w:after="0" w:line="240" w:lineRule="auto"/>
        <w:jc w:val="both"/>
        <w:rPr>
          <w:rFonts w:ascii="Times New Roman" w:hAnsi="Times New Roman" w:cs="Times New Roman"/>
          <w:sz w:val="14"/>
          <w:szCs w:val="14"/>
        </w:rPr>
      </w:pPr>
      <w:r w:rsidRPr="000028AF">
        <w:rPr>
          <w:rStyle w:val="a5"/>
          <w:rFonts w:ascii="Times New Roman" w:hAnsi="Times New Roman" w:cs="Times New Roman"/>
          <w:sz w:val="14"/>
          <w:szCs w:val="14"/>
        </w:rPr>
        <w:footnoteRef/>
      </w:r>
      <w:r w:rsidRPr="000028AF">
        <w:rPr>
          <w:rFonts w:ascii="Times New Roman" w:hAnsi="Times New Roman" w:cs="Times New Roman"/>
          <w:sz w:val="14"/>
          <w:szCs w:val="14"/>
        </w:rPr>
        <w:t xml:space="preserve"> </w:t>
      </w:r>
      <w:r w:rsidRPr="000028AF">
        <w:rPr>
          <w:rFonts w:ascii="Times New Roman" w:hAnsi="Times New Roman" w:cs="Times New Roman"/>
          <w:color w:val="000000"/>
          <w:sz w:val="14"/>
          <w:szCs w:val="14"/>
        </w:rPr>
        <w:t>Закон РК «</w:t>
      </w:r>
      <w:r w:rsidRPr="000028AF">
        <w:rPr>
          <w:rFonts w:ascii="Times New Roman" w:hAnsi="Times New Roman" w:cs="Times New Roman"/>
          <w:sz w:val="14"/>
          <w:szCs w:val="14"/>
        </w:rPr>
        <w:t>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r w:rsidRPr="000028AF">
        <w:rPr>
          <w:rFonts w:ascii="Times New Roman" w:hAnsi="Times New Roman" w:cs="Times New Roman"/>
          <w:color w:val="000000"/>
          <w:sz w:val="14"/>
          <w:szCs w:val="14"/>
        </w:rPr>
        <w:t>»</w:t>
      </w:r>
    </w:p>
  </w:footnote>
  <w:footnote w:id="10">
    <w:p w14:paraId="7731213B" w14:textId="77777777" w:rsidR="005813D2" w:rsidRPr="00FE2773"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Правления НБРК от 19.03.2020г. № 39 «Об утверждении Программы льготного кредитования субъектов предпринимательства»</w:t>
      </w:r>
    </w:p>
  </w:footnote>
  <w:footnote w:id="11">
    <w:p w14:paraId="32D4D756"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Правительства Республики Казахстан от 20.10.2020г. № 679 «О внесении дополнений в постановление Правительства Республики Казахстан от 31.12.2019г. № 1060 «О некоторых мерах государственной поддержки частного предпринимательства»</w:t>
      </w:r>
    </w:p>
  </w:footnote>
  <w:footnote w:id="12">
    <w:p w14:paraId="2A55BE4F" w14:textId="77777777" w:rsidR="005813D2" w:rsidRPr="00657A2A" w:rsidRDefault="005813D2" w:rsidP="001516F0">
      <w:pPr>
        <w:pStyle w:val="a6"/>
        <w:rPr>
          <w:rFonts w:ascii="Times New Roman" w:hAnsi="Times New Roman"/>
          <w:sz w:val="18"/>
          <w:szCs w:val="18"/>
        </w:rPr>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Агентства Республики Казахстан по регулированию и развитию финансового рынка от 26.03.2020г. № 23 «О внесении изменений в постановление Правления НБРК от 31.01.2019г. № 13 «Об утверждении Требований к формированию, методике расчета страховых резервов и их структуре»</w:t>
      </w:r>
    </w:p>
  </w:footnote>
  <w:footnote w:id="13">
    <w:p w14:paraId="36729BCA" w14:textId="77777777" w:rsidR="005813D2" w:rsidRPr="00657A2A" w:rsidRDefault="005813D2" w:rsidP="001516F0">
      <w:pPr>
        <w:pStyle w:val="a6"/>
        <w:rPr>
          <w:rFonts w:ascii="Times New Roman" w:hAnsi="Times New Roman"/>
          <w:sz w:val="14"/>
          <w:szCs w:val="14"/>
        </w:rPr>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Агентства Республики Казахстан по регулированию и развитию финансового рынка от 30.10.2020г. № 106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w:t>
      </w:r>
    </w:p>
  </w:footnote>
  <w:footnote w:id="14">
    <w:p w14:paraId="65CF6BF9" w14:textId="77777777" w:rsidR="005813D2" w:rsidRPr="00657A2A" w:rsidRDefault="005813D2" w:rsidP="001516F0">
      <w:pPr>
        <w:pStyle w:val="a6"/>
        <w:rPr>
          <w:rFonts w:ascii="Times New Roman" w:hAnsi="Times New Roman"/>
          <w:sz w:val="14"/>
          <w:szCs w:val="14"/>
        </w:rPr>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Агентства Республики Казахстан по регулированию и развитию финансового рынка от 23.11.2020г. № 113 «О внесении изменений в некоторые нормативные правовые акты Республики Казахстан по вопросам регулирования финансового рынка»</w:t>
      </w:r>
    </w:p>
  </w:footnote>
  <w:footnote w:id="15">
    <w:p w14:paraId="616E1642" w14:textId="77777777" w:rsidR="005813D2" w:rsidRPr="00657A2A" w:rsidRDefault="005813D2" w:rsidP="001516F0">
      <w:pPr>
        <w:pStyle w:val="a6"/>
        <w:rPr>
          <w:rFonts w:ascii="Times New Roman" w:hAnsi="Times New Roman"/>
          <w:sz w:val="14"/>
          <w:szCs w:val="14"/>
        </w:rPr>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Агентство от 30.03.2020г. № 42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footnote>
  <w:footnote w:id="16">
    <w:p w14:paraId="5758C3E8" w14:textId="77777777" w:rsidR="005813D2" w:rsidRPr="00657A2A" w:rsidRDefault="005813D2" w:rsidP="001516F0">
      <w:pPr>
        <w:pStyle w:val="a6"/>
        <w:rPr>
          <w:rFonts w:ascii="Times New Roman" w:hAnsi="Times New Roman"/>
          <w:sz w:val="14"/>
          <w:szCs w:val="14"/>
        </w:rPr>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Агентства от 30.03.2020г. № 41 «О внесении изменений и дополнений в постановление Правления НБРК от 29.10.2018г.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и признании утратившими силу структурных элементов некоторых нормативных правовых актов НБРК»</w:t>
      </w:r>
    </w:p>
  </w:footnote>
  <w:footnote w:id="17">
    <w:p w14:paraId="036084A2" w14:textId="77777777" w:rsidR="005813D2" w:rsidRPr="009E623C" w:rsidRDefault="005813D2" w:rsidP="001516F0">
      <w:pPr>
        <w:pStyle w:val="a6"/>
        <w:rPr>
          <w:rFonts w:ascii="Times New Roman" w:hAnsi="Times New Roman"/>
          <w:sz w:val="14"/>
          <w:szCs w:val="14"/>
        </w:rPr>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Агентство от 19.10.2020г. № 101 «</w:t>
      </w:r>
      <w:r w:rsidRPr="00657A2A">
        <w:rPr>
          <w:rFonts w:ascii="Times New Roman" w:eastAsia="Times New Roman" w:hAnsi="Times New Roman"/>
          <w:sz w:val="14"/>
          <w:szCs w:val="14"/>
        </w:rPr>
        <w:t>Об утверждении Правил государственной регистрации выпуска паев паевого инвестиционного фонда»</w:t>
      </w:r>
    </w:p>
  </w:footnote>
  <w:footnote w:id="18">
    <w:p w14:paraId="28CCFD2A" w14:textId="77777777" w:rsidR="005813D2" w:rsidRPr="000351BD" w:rsidRDefault="005813D2" w:rsidP="001516F0">
      <w:pPr>
        <w:pStyle w:val="a6"/>
        <w:rPr>
          <w:rFonts w:ascii="Times New Roman" w:hAnsi="Times New Roman"/>
          <w:sz w:val="16"/>
          <w:szCs w:val="18"/>
        </w:rPr>
      </w:pPr>
      <w:r w:rsidRPr="009E623C">
        <w:rPr>
          <w:rStyle w:val="a5"/>
          <w:sz w:val="14"/>
          <w:szCs w:val="14"/>
        </w:rPr>
        <w:footnoteRef/>
      </w:r>
      <w:r w:rsidRPr="009E623C">
        <w:rPr>
          <w:rFonts w:ascii="Times New Roman" w:hAnsi="Times New Roman"/>
          <w:sz w:val="14"/>
          <w:szCs w:val="14"/>
        </w:rPr>
        <w:t xml:space="preserve"> Постановление Правления Агентства от 21.09.2020г. №</w:t>
      </w:r>
      <w:r>
        <w:rPr>
          <w:rFonts w:ascii="Times New Roman" w:hAnsi="Times New Roman"/>
          <w:sz w:val="14"/>
          <w:szCs w:val="14"/>
        </w:rPr>
        <w:t xml:space="preserve"> </w:t>
      </w:r>
      <w:r w:rsidRPr="009E623C">
        <w:rPr>
          <w:rFonts w:ascii="Times New Roman" w:hAnsi="Times New Roman"/>
          <w:sz w:val="14"/>
          <w:szCs w:val="14"/>
        </w:rPr>
        <w:t>82 «О внесении изменений и дополнений в некоторые нормативные правовые акты РК и приостановлении действия отдельных норм некоторых нормативных правовых актов РК по вопросам регулирования финансового рынка»</w:t>
      </w:r>
    </w:p>
  </w:footnote>
  <w:footnote w:id="19">
    <w:p w14:paraId="5B190494" w14:textId="77777777" w:rsidR="005813D2" w:rsidRPr="00657A2A" w:rsidRDefault="005813D2" w:rsidP="001516F0">
      <w:pPr>
        <w:pStyle w:val="a6"/>
        <w:rPr>
          <w:rFonts w:ascii="Times New Roman" w:hAnsi="Times New Roman"/>
          <w:sz w:val="14"/>
          <w:szCs w:val="14"/>
        </w:rPr>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Агентства от 21.09.2020г. № 84 «О внесении изменений и дополнений в некоторые нормативные правовые акты Республики Казахстан по вопросам регулирования рынка ценных бумаг»</w:t>
      </w:r>
    </w:p>
  </w:footnote>
  <w:footnote w:id="20">
    <w:p w14:paraId="69D1972D" w14:textId="77777777" w:rsidR="005813D2" w:rsidRDefault="005813D2" w:rsidP="001516F0">
      <w:pPr>
        <w:pStyle w:val="a6"/>
      </w:pPr>
      <w:r w:rsidRPr="00657A2A">
        <w:rPr>
          <w:rStyle w:val="a5"/>
          <w:rFonts w:ascii="Times New Roman" w:hAnsi="Times New Roman"/>
          <w:sz w:val="14"/>
          <w:szCs w:val="14"/>
        </w:rPr>
        <w:footnoteRef/>
      </w:r>
      <w:r w:rsidRPr="00657A2A">
        <w:rPr>
          <w:rFonts w:ascii="Times New Roman" w:hAnsi="Times New Roman"/>
          <w:sz w:val="14"/>
          <w:szCs w:val="14"/>
        </w:rPr>
        <w:t xml:space="preserve"> Постановление Правления НБРК от 03.02.2014г.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footnote>
  <w:footnote w:id="21">
    <w:p w14:paraId="586D4056"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Агентства от 22.03.2020г. № 18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профессиональных участников рынка ценных бумаг и центрального депозитария»</w:t>
      </w:r>
    </w:p>
  </w:footnote>
  <w:footnote w:id="22">
    <w:p w14:paraId="724A083E"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Агентства от 12.10.2020г. № 95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единого накопительного пенсионного фонда и добровольных накопительных пенсионных фондов»</w:t>
      </w:r>
    </w:p>
  </w:footnote>
  <w:footnote w:id="23">
    <w:p w14:paraId="1D2B2D09"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Агентства от 12.10.2020г. № 97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страховых (перестраховочных) организаций и страховых брокеров»</w:t>
      </w:r>
    </w:p>
  </w:footnote>
  <w:footnote w:id="24">
    <w:p w14:paraId="1C6B6526" w14:textId="77777777" w:rsidR="005813D2" w:rsidRPr="000028AF" w:rsidRDefault="005813D2" w:rsidP="001516F0">
      <w:pPr>
        <w:pStyle w:val="a6"/>
        <w:rPr>
          <w:rFonts w:ascii="Times New Roman" w:hAnsi="Times New Roman"/>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Агентства от 12.10.2020г. № 98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фондовой биржи»</w:t>
      </w:r>
    </w:p>
  </w:footnote>
  <w:footnote w:id="25">
    <w:p w14:paraId="5F142317"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Постановление Агентства от 29.10.2020г. № 103 «О внесении изменений и дополнений в постановление Правления Агентства Республики Казахстан по регулированию и развитию финансового рынка от 22.03.2020г. № 18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и Национального оператора почты»</w:t>
      </w:r>
    </w:p>
  </w:footnote>
  <w:footnote w:id="26">
    <w:p w14:paraId="229323B7"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Совместные постановления Правления НБРК от 21.04.2020г. № 51, постановления Правления Агентства от 29.04.2020г. № 54 и приказа Министра финансов Республики Казахстан от 29.04.2020г. № 435 «О порядке снятия юридическими лицами наличных денег с банковских счетов, снятия наличных денег сверх установленных предельных размеров и предоставления в Министерство финансов Республики Казахстан информации о снятии юридическими лицами наличных денег сверх установленных предельных размеров»</w:t>
      </w:r>
    </w:p>
  </w:footnote>
  <w:footnote w:id="27">
    <w:p w14:paraId="01CDEEB6" w14:textId="77777777" w:rsidR="005813D2" w:rsidRPr="000028AF"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приказ Председателя Агентства от 06.10.2020г. № 384 «Об утверждении Плана-графика работ по совершенствованию законодательства в сфере противодействия легализации (отмыванию) доходов, полученных преступным путем, и финансированию терроризма»</w:t>
      </w:r>
    </w:p>
  </w:footnote>
  <w:footnote w:id="28">
    <w:p w14:paraId="544B7DAE" w14:textId="77777777" w:rsidR="005813D2" w:rsidRPr="00383033" w:rsidRDefault="005813D2" w:rsidP="001516F0">
      <w:pPr>
        <w:pStyle w:val="a6"/>
        <w:rPr>
          <w:rFonts w:ascii="Times New Roman" w:hAnsi="Times New Roman"/>
          <w:sz w:val="14"/>
          <w:szCs w:val="14"/>
        </w:rPr>
      </w:pPr>
      <w:r w:rsidRPr="000028AF">
        <w:rPr>
          <w:rStyle w:val="a5"/>
          <w:rFonts w:ascii="Times New Roman" w:hAnsi="Times New Roman"/>
          <w:sz w:val="14"/>
          <w:szCs w:val="14"/>
        </w:rPr>
        <w:footnoteRef/>
      </w:r>
      <w:r w:rsidRPr="000028AF">
        <w:rPr>
          <w:rFonts w:ascii="Times New Roman" w:hAnsi="Times New Roman"/>
          <w:sz w:val="14"/>
          <w:szCs w:val="14"/>
        </w:rPr>
        <w:t xml:space="preserve"> приказ Председателя Агентства от 07.10.2020г. № 388 «О создании межведомственной рабочей группы по выработке мер по противодействию деятельности финансовых пирамид»</w:t>
      </w:r>
    </w:p>
  </w:footnote>
  <w:footnote w:id="29">
    <w:p w14:paraId="6F215394" w14:textId="77777777" w:rsidR="005813D2" w:rsidRPr="00383033" w:rsidRDefault="005813D2" w:rsidP="001516F0">
      <w:pPr>
        <w:pStyle w:val="a6"/>
        <w:rPr>
          <w:rFonts w:ascii="Times New Roman" w:hAnsi="Times New Roman"/>
          <w:sz w:val="14"/>
          <w:szCs w:val="14"/>
        </w:rPr>
      </w:pPr>
      <w:r w:rsidRPr="00383033">
        <w:rPr>
          <w:rStyle w:val="a5"/>
          <w:sz w:val="14"/>
          <w:szCs w:val="14"/>
        </w:rPr>
        <w:footnoteRef/>
      </w:r>
      <w:r w:rsidRPr="00383033">
        <w:rPr>
          <w:rFonts w:ascii="Times New Roman" w:hAnsi="Times New Roman"/>
          <w:sz w:val="14"/>
          <w:szCs w:val="14"/>
        </w:rPr>
        <w:t xml:space="preserve"> приказ Председателя Агентства от 14.01.2021г. №19 «Об утверждении Методических рекомендаций по осуществлению проверок банков второго уровня и организаций, осуществляющих отдельные виды банковских операций, на предмет соблюдения законодательства о противодействии легализации (отмыванию) доходов, полученных преступным путем, и финансированию терроризма»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040519"/>
      <w:docPartObj>
        <w:docPartGallery w:val="Page Numbers (Top of Page)"/>
        <w:docPartUnique/>
      </w:docPartObj>
    </w:sdtPr>
    <w:sdtContent>
      <w:p w14:paraId="7703E4E7" w14:textId="1793393A" w:rsidR="005813D2" w:rsidRDefault="005813D2">
        <w:pPr>
          <w:pStyle w:val="af2"/>
          <w:jc w:val="center"/>
        </w:pPr>
        <w:r>
          <w:fldChar w:fldCharType="begin"/>
        </w:r>
        <w:r>
          <w:instrText>PAGE   \* MERGEFORMAT</w:instrText>
        </w:r>
        <w:r>
          <w:fldChar w:fldCharType="separate"/>
        </w:r>
        <w:r w:rsidR="00657A2A">
          <w:rPr>
            <w:noProof/>
          </w:rPr>
          <w:t>9</w:t>
        </w:r>
        <w:r>
          <w:fldChar w:fldCharType="end"/>
        </w:r>
      </w:p>
    </w:sdtContent>
  </w:sdt>
  <w:p w14:paraId="1CE2412B" w14:textId="77777777" w:rsidR="005813D2" w:rsidRDefault="005813D2">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219730"/>
      <w:docPartObj>
        <w:docPartGallery w:val="Page Numbers (Top of Page)"/>
        <w:docPartUnique/>
      </w:docPartObj>
    </w:sdtPr>
    <w:sdtContent>
      <w:p w14:paraId="6C903DAA" w14:textId="35550FAF" w:rsidR="005813D2" w:rsidRDefault="005813D2">
        <w:pPr>
          <w:pStyle w:val="af2"/>
          <w:jc w:val="center"/>
        </w:pPr>
        <w:r>
          <w:fldChar w:fldCharType="begin"/>
        </w:r>
        <w:r>
          <w:instrText>PAGE   \* MERGEFORMAT</w:instrText>
        </w:r>
        <w:r>
          <w:fldChar w:fldCharType="separate"/>
        </w:r>
        <w:r w:rsidR="00657A2A">
          <w:rPr>
            <w:noProof/>
          </w:rPr>
          <w:t>25</w:t>
        </w:r>
        <w:r>
          <w:fldChar w:fldCharType="end"/>
        </w:r>
      </w:p>
    </w:sdtContent>
  </w:sdt>
  <w:p w14:paraId="749A87FC" w14:textId="77777777" w:rsidR="005813D2" w:rsidRDefault="005813D2">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DA1"/>
    <w:multiLevelType w:val="hybridMultilevel"/>
    <w:tmpl w:val="46D4B12A"/>
    <w:lvl w:ilvl="0" w:tplc="A6BAD1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D60EC5"/>
    <w:multiLevelType w:val="hybridMultilevel"/>
    <w:tmpl w:val="D270966A"/>
    <w:lvl w:ilvl="0" w:tplc="B75A9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854149"/>
    <w:multiLevelType w:val="hybridMultilevel"/>
    <w:tmpl w:val="57DE75FA"/>
    <w:lvl w:ilvl="0" w:tplc="EC16A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2377C4"/>
    <w:multiLevelType w:val="hybridMultilevel"/>
    <w:tmpl w:val="EC68023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831977"/>
    <w:multiLevelType w:val="hybridMultilevel"/>
    <w:tmpl w:val="A36E5004"/>
    <w:lvl w:ilvl="0" w:tplc="0584E8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74E13B6"/>
    <w:multiLevelType w:val="hybridMultilevel"/>
    <w:tmpl w:val="A5F8CA58"/>
    <w:lvl w:ilvl="0" w:tplc="EA38E6A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4B4EA0"/>
    <w:multiLevelType w:val="hybridMultilevel"/>
    <w:tmpl w:val="012A2664"/>
    <w:lvl w:ilvl="0" w:tplc="04190011">
      <w:start w:val="1"/>
      <w:numFmt w:val="decimal"/>
      <w:lvlText w:val="%1)"/>
      <w:lvlJc w:val="left"/>
      <w:pPr>
        <w:ind w:left="50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AA30C3"/>
    <w:multiLevelType w:val="hybridMultilevel"/>
    <w:tmpl w:val="927C0E34"/>
    <w:lvl w:ilvl="0" w:tplc="73283FC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318152DE"/>
    <w:multiLevelType w:val="hybridMultilevel"/>
    <w:tmpl w:val="B922F508"/>
    <w:lvl w:ilvl="0" w:tplc="EA38E6A8">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388466B6"/>
    <w:multiLevelType w:val="hybridMultilevel"/>
    <w:tmpl w:val="36E6796A"/>
    <w:lvl w:ilvl="0" w:tplc="C4E0584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15:restartNumberingAfterBreak="0">
    <w:nsid w:val="3E8E7C48"/>
    <w:multiLevelType w:val="hybridMultilevel"/>
    <w:tmpl w:val="429A8A84"/>
    <w:lvl w:ilvl="0" w:tplc="2EEA2834">
      <w:start w:val="1"/>
      <w:numFmt w:val="bullet"/>
      <w:lvlText w:val="-"/>
      <w:lvlJc w:val="left"/>
      <w:pPr>
        <w:tabs>
          <w:tab w:val="num" w:pos="720"/>
        </w:tabs>
        <w:ind w:left="720" w:hanging="360"/>
      </w:pPr>
      <w:rPr>
        <w:rFonts w:ascii="Times New Roman" w:eastAsiaTheme="minorHAnsi" w:hAnsi="Times New Roman" w:cs="Times New Roman" w:hint="default"/>
      </w:rPr>
    </w:lvl>
    <w:lvl w:ilvl="1" w:tplc="03D8EB80" w:tentative="1">
      <w:start w:val="1"/>
      <w:numFmt w:val="bullet"/>
      <w:lvlText w:val=""/>
      <w:lvlJc w:val="left"/>
      <w:pPr>
        <w:tabs>
          <w:tab w:val="num" w:pos="1440"/>
        </w:tabs>
        <w:ind w:left="1440" w:hanging="360"/>
      </w:pPr>
      <w:rPr>
        <w:rFonts w:ascii="Wingdings" w:hAnsi="Wingdings" w:hint="default"/>
      </w:rPr>
    </w:lvl>
    <w:lvl w:ilvl="2" w:tplc="27320014" w:tentative="1">
      <w:start w:val="1"/>
      <w:numFmt w:val="bullet"/>
      <w:lvlText w:val=""/>
      <w:lvlJc w:val="left"/>
      <w:pPr>
        <w:tabs>
          <w:tab w:val="num" w:pos="2160"/>
        </w:tabs>
        <w:ind w:left="2160" w:hanging="360"/>
      </w:pPr>
      <w:rPr>
        <w:rFonts w:ascii="Wingdings" w:hAnsi="Wingdings" w:hint="default"/>
      </w:rPr>
    </w:lvl>
    <w:lvl w:ilvl="3" w:tplc="8042E69E" w:tentative="1">
      <w:start w:val="1"/>
      <w:numFmt w:val="bullet"/>
      <w:lvlText w:val=""/>
      <w:lvlJc w:val="left"/>
      <w:pPr>
        <w:tabs>
          <w:tab w:val="num" w:pos="2880"/>
        </w:tabs>
        <w:ind w:left="2880" w:hanging="360"/>
      </w:pPr>
      <w:rPr>
        <w:rFonts w:ascii="Wingdings" w:hAnsi="Wingdings" w:hint="default"/>
      </w:rPr>
    </w:lvl>
    <w:lvl w:ilvl="4" w:tplc="DAF815F2" w:tentative="1">
      <w:start w:val="1"/>
      <w:numFmt w:val="bullet"/>
      <w:lvlText w:val=""/>
      <w:lvlJc w:val="left"/>
      <w:pPr>
        <w:tabs>
          <w:tab w:val="num" w:pos="3600"/>
        </w:tabs>
        <w:ind w:left="3600" w:hanging="360"/>
      </w:pPr>
      <w:rPr>
        <w:rFonts w:ascii="Wingdings" w:hAnsi="Wingdings" w:hint="default"/>
      </w:rPr>
    </w:lvl>
    <w:lvl w:ilvl="5" w:tplc="48123072" w:tentative="1">
      <w:start w:val="1"/>
      <w:numFmt w:val="bullet"/>
      <w:lvlText w:val=""/>
      <w:lvlJc w:val="left"/>
      <w:pPr>
        <w:tabs>
          <w:tab w:val="num" w:pos="4320"/>
        </w:tabs>
        <w:ind w:left="4320" w:hanging="360"/>
      </w:pPr>
      <w:rPr>
        <w:rFonts w:ascii="Wingdings" w:hAnsi="Wingdings" w:hint="default"/>
      </w:rPr>
    </w:lvl>
    <w:lvl w:ilvl="6" w:tplc="E8300C0E" w:tentative="1">
      <w:start w:val="1"/>
      <w:numFmt w:val="bullet"/>
      <w:lvlText w:val=""/>
      <w:lvlJc w:val="left"/>
      <w:pPr>
        <w:tabs>
          <w:tab w:val="num" w:pos="5040"/>
        </w:tabs>
        <w:ind w:left="5040" w:hanging="360"/>
      </w:pPr>
      <w:rPr>
        <w:rFonts w:ascii="Wingdings" w:hAnsi="Wingdings" w:hint="default"/>
      </w:rPr>
    </w:lvl>
    <w:lvl w:ilvl="7" w:tplc="D4A432DA" w:tentative="1">
      <w:start w:val="1"/>
      <w:numFmt w:val="bullet"/>
      <w:lvlText w:val=""/>
      <w:lvlJc w:val="left"/>
      <w:pPr>
        <w:tabs>
          <w:tab w:val="num" w:pos="5760"/>
        </w:tabs>
        <w:ind w:left="5760" w:hanging="360"/>
      </w:pPr>
      <w:rPr>
        <w:rFonts w:ascii="Wingdings" w:hAnsi="Wingdings" w:hint="default"/>
      </w:rPr>
    </w:lvl>
    <w:lvl w:ilvl="8" w:tplc="1B1663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503B1"/>
    <w:multiLevelType w:val="hybridMultilevel"/>
    <w:tmpl w:val="012A2664"/>
    <w:lvl w:ilvl="0" w:tplc="04190011">
      <w:start w:val="1"/>
      <w:numFmt w:val="decimal"/>
      <w:lvlText w:val="%1)"/>
      <w:lvlJc w:val="left"/>
      <w:pPr>
        <w:ind w:left="50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8C12C7"/>
    <w:multiLevelType w:val="hybridMultilevel"/>
    <w:tmpl w:val="B7F4B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BC2EDA"/>
    <w:multiLevelType w:val="hybridMultilevel"/>
    <w:tmpl w:val="012A2664"/>
    <w:lvl w:ilvl="0" w:tplc="04190011">
      <w:start w:val="1"/>
      <w:numFmt w:val="decimal"/>
      <w:lvlText w:val="%1)"/>
      <w:lvlJc w:val="left"/>
      <w:pPr>
        <w:ind w:left="50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6F56D8"/>
    <w:multiLevelType w:val="hybridMultilevel"/>
    <w:tmpl w:val="A5B8099A"/>
    <w:lvl w:ilvl="0" w:tplc="F814A3D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61930A94"/>
    <w:multiLevelType w:val="hybridMultilevel"/>
    <w:tmpl w:val="060E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1B4533"/>
    <w:multiLevelType w:val="hybridMultilevel"/>
    <w:tmpl w:val="0FB8759E"/>
    <w:lvl w:ilvl="0" w:tplc="A6BAD1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5D44110"/>
    <w:multiLevelType w:val="hybridMultilevel"/>
    <w:tmpl w:val="A2AC10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135D35"/>
    <w:multiLevelType w:val="hybridMultilevel"/>
    <w:tmpl w:val="012A2664"/>
    <w:lvl w:ilvl="0" w:tplc="04190011">
      <w:start w:val="1"/>
      <w:numFmt w:val="decimal"/>
      <w:lvlText w:val="%1)"/>
      <w:lvlJc w:val="left"/>
      <w:pPr>
        <w:ind w:left="50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5C5073"/>
    <w:multiLevelType w:val="hybridMultilevel"/>
    <w:tmpl w:val="FC3421C0"/>
    <w:lvl w:ilvl="0" w:tplc="2E421206">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790A48BC"/>
    <w:multiLevelType w:val="hybridMultilevel"/>
    <w:tmpl w:val="57DE75FA"/>
    <w:lvl w:ilvl="0" w:tplc="EC16A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D463519"/>
    <w:multiLevelType w:val="hybridMultilevel"/>
    <w:tmpl w:val="A2AC10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0"/>
  </w:num>
  <w:num w:numId="3">
    <w:abstractNumId w:val="3"/>
  </w:num>
  <w:num w:numId="4">
    <w:abstractNumId w:val="1"/>
  </w:num>
  <w:num w:numId="5">
    <w:abstractNumId w:val="0"/>
  </w:num>
  <w:num w:numId="6">
    <w:abstractNumId w:val="2"/>
  </w:num>
  <w:num w:numId="7">
    <w:abstractNumId w:val="20"/>
  </w:num>
  <w:num w:numId="8">
    <w:abstractNumId w:val="8"/>
  </w:num>
  <w:num w:numId="9">
    <w:abstractNumId w:val="5"/>
  </w:num>
  <w:num w:numId="10">
    <w:abstractNumId w:val="16"/>
  </w:num>
  <w:num w:numId="11">
    <w:abstractNumId w:val="4"/>
  </w:num>
  <w:num w:numId="12">
    <w:abstractNumId w:val="6"/>
  </w:num>
  <w:num w:numId="13">
    <w:abstractNumId w:val="13"/>
  </w:num>
  <w:num w:numId="14">
    <w:abstractNumId w:val="11"/>
  </w:num>
  <w:num w:numId="15">
    <w:abstractNumId w:val="7"/>
  </w:num>
  <w:num w:numId="16">
    <w:abstractNumId w:val="19"/>
  </w:num>
  <w:num w:numId="17">
    <w:abstractNumId w:val="14"/>
  </w:num>
  <w:num w:numId="18">
    <w:abstractNumId w:val="9"/>
  </w:num>
  <w:num w:numId="19">
    <w:abstractNumId w:val="12"/>
  </w:num>
  <w:num w:numId="20">
    <w:abstractNumId w:val="21"/>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39"/>
    <w:rsid w:val="000028AF"/>
    <w:rsid w:val="00032329"/>
    <w:rsid w:val="000468E5"/>
    <w:rsid w:val="00081C9B"/>
    <w:rsid w:val="000906ED"/>
    <w:rsid w:val="000A0C06"/>
    <w:rsid w:val="000B227F"/>
    <w:rsid w:val="000C1457"/>
    <w:rsid w:val="000F52C4"/>
    <w:rsid w:val="00101DC2"/>
    <w:rsid w:val="001032DA"/>
    <w:rsid w:val="00117A0F"/>
    <w:rsid w:val="001207BB"/>
    <w:rsid w:val="00121C7D"/>
    <w:rsid w:val="00122C86"/>
    <w:rsid w:val="00135E7F"/>
    <w:rsid w:val="001516F0"/>
    <w:rsid w:val="00181664"/>
    <w:rsid w:val="001B073E"/>
    <w:rsid w:val="001B7ED5"/>
    <w:rsid w:val="001C59F6"/>
    <w:rsid w:val="002020EC"/>
    <w:rsid w:val="00206D8F"/>
    <w:rsid w:val="00237737"/>
    <w:rsid w:val="00243866"/>
    <w:rsid w:val="00261525"/>
    <w:rsid w:val="0026640B"/>
    <w:rsid w:val="00272EDA"/>
    <w:rsid w:val="002A156C"/>
    <w:rsid w:val="002A4E56"/>
    <w:rsid w:val="002D542E"/>
    <w:rsid w:val="002E58D0"/>
    <w:rsid w:val="00300250"/>
    <w:rsid w:val="0030229A"/>
    <w:rsid w:val="003101F2"/>
    <w:rsid w:val="00352748"/>
    <w:rsid w:val="00393062"/>
    <w:rsid w:val="003D7DC7"/>
    <w:rsid w:val="003E7355"/>
    <w:rsid w:val="003F2C1A"/>
    <w:rsid w:val="004216BF"/>
    <w:rsid w:val="00424FEE"/>
    <w:rsid w:val="00431ABE"/>
    <w:rsid w:val="004328FB"/>
    <w:rsid w:val="00435873"/>
    <w:rsid w:val="0045575F"/>
    <w:rsid w:val="00472F2E"/>
    <w:rsid w:val="00481FF4"/>
    <w:rsid w:val="00485732"/>
    <w:rsid w:val="004A3AB5"/>
    <w:rsid w:val="0050672E"/>
    <w:rsid w:val="00540F09"/>
    <w:rsid w:val="00542882"/>
    <w:rsid w:val="005438B1"/>
    <w:rsid w:val="005634CD"/>
    <w:rsid w:val="005813D2"/>
    <w:rsid w:val="00586BC3"/>
    <w:rsid w:val="00597CB0"/>
    <w:rsid w:val="005A1D6C"/>
    <w:rsid w:val="005C39E7"/>
    <w:rsid w:val="005C7B83"/>
    <w:rsid w:val="005D1265"/>
    <w:rsid w:val="005D3E00"/>
    <w:rsid w:val="006003C9"/>
    <w:rsid w:val="00605AD6"/>
    <w:rsid w:val="00612E0D"/>
    <w:rsid w:val="00614FF0"/>
    <w:rsid w:val="0061685F"/>
    <w:rsid w:val="00620F4B"/>
    <w:rsid w:val="0065138A"/>
    <w:rsid w:val="00657A2A"/>
    <w:rsid w:val="006613EA"/>
    <w:rsid w:val="0069744D"/>
    <w:rsid w:val="006A7D7E"/>
    <w:rsid w:val="006C4B1A"/>
    <w:rsid w:val="006D0655"/>
    <w:rsid w:val="006E4C61"/>
    <w:rsid w:val="006E7E69"/>
    <w:rsid w:val="006F222A"/>
    <w:rsid w:val="006F3037"/>
    <w:rsid w:val="006F375F"/>
    <w:rsid w:val="00724B07"/>
    <w:rsid w:val="007323DA"/>
    <w:rsid w:val="0074563C"/>
    <w:rsid w:val="00760FBE"/>
    <w:rsid w:val="00765599"/>
    <w:rsid w:val="00771D4C"/>
    <w:rsid w:val="00783AAC"/>
    <w:rsid w:val="0078563E"/>
    <w:rsid w:val="007A683C"/>
    <w:rsid w:val="007D14E6"/>
    <w:rsid w:val="007E09D3"/>
    <w:rsid w:val="0080061C"/>
    <w:rsid w:val="00807973"/>
    <w:rsid w:val="00810C12"/>
    <w:rsid w:val="00851F70"/>
    <w:rsid w:val="00866286"/>
    <w:rsid w:val="008815AC"/>
    <w:rsid w:val="008A4DD3"/>
    <w:rsid w:val="008B10B5"/>
    <w:rsid w:val="008C716C"/>
    <w:rsid w:val="008F16FD"/>
    <w:rsid w:val="009125D7"/>
    <w:rsid w:val="009205B6"/>
    <w:rsid w:val="00930EA2"/>
    <w:rsid w:val="0094049A"/>
    <w:rsid w:val="0097284C"/>
    <w:rsid w:val="00990FAA"/>
    <w:rsid w:val="009A3D60"/>
    <w:rsid w:val="009D4461"/>
    <w:rsid w:val="009E04F0"/>
    <w:rsid w:val="00A14603"/>
    <w:rsid w:val="00A24E11"/>
    <w:rsid w:val="00A811D9"/>
    <w:rsid w:val="00A97BAA"/>
    <w:rsid w:val="00AA5439"/>
    <w:rsid w:val="00AB547F"/>
    <w:rsid w:val="00AC30A3"/>
    <w:rsid w:val="00AD1C00"/>
    <w:rsid w:val="00AD305E"/>
    <w:rsid w:val="00B2048A"/>
    <w:rsid w:val="00B45CDE"/>
    <w:rsid w:val="00B469B8"/>
    <w:rsid w:val="00B56F23"/>
    <w:rsid w:val="00B57AE9"/>
    <w:rsid w:val="00B65810"/>
    <w:rsid w:val="00B718FF"/>
    <w:rsid w:val="00B8003D"/>
    <w:rsid w:val="00BA72CC"/>
    <w:rsid w:val="00BB0558"/>
    <w:rsid w:val="00BD16D5"/>
    <w:rsid w:val="00C1038C"/>
    <w:rsid w:val="00C15685"/>
    <w:rsid w:val="00C2692E"/>
    <w:rsid w:val="00C37050"/>
    <w:rsid w:val="00C41860"/>
    <w:rsid w:val="00C600DB"/>
    <w:rsid w:val="00C62AF3"/>
    <w:rsid w:val="00C874C1"/>
    <w:rsid w:val="00CA51F0"/>
    <w:rsid w:val="00CD7D55"/>
    <w:rsid w:val="00D24DCE"/>
    <w:rsid w:val="00D40CD0"/>
    <w:rsid w:val="00D4311C"/>
    <w:rsid w:val="00D63F45"/>
    <w:rsid w:val="00D76729"/>
    <w:rsid w:val="00DC1EA0"/>
    <w:rsid w:val="00DD0D16"/>
    <w:rsid w:val="00DF62B5"/>
    <w:rsid w:val="00E35730"/>
    <w:rsid w:val="00E46D90"/>
    <w:rsid w:val="00E7553C"/>
    <w:rsid w:val="00E86AFA"/>
    <w:rsid w:val="00E9212F"/>
    <w:rsid w:val="00EB4F05"/>
    <w:rsid w:val="00ED5DF3"/>
    <w:rsid w:val="00ED5E04"/>
    <w:rsid w:val="00EF2F76"/>
    <w:rsid w:val="00F04DD8"/>
    <w:rsid w:val="00F07A62"/>
    <w:rsid w:val="00F27E8D"/>
    <w:rsid w:val="00F418EB"/>
    <w:rsid w:val="00F80930"/>
    <w:rsid w:val="00F8282E"/>
    <w:rsid w:val="00F91806"/>
    <w:rsid w:val="00F94094"/>
    <w:rsid w:val="00F969D2"/>
    <w:rsid w:val="00FB3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3031"/>
  <w15:docId w15:val="{096A20BB-3153-4DF2-84D3-C588EA5C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A15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A156C"/>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4"/>
    <w:uiPriority w:val="99"/>
    <w:unhideWhenUsed/>
    <w:qFormat/>
    <w:rsid w:val="002A15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rsid w:val="009E04F0"/>
    <w:rPr>
      <w:rFonts w:ascii="Times New Roman" w:eastAsia="Times New Roman" w:hAnsi="Times New Roman" w:cs="Times New Roman"/>
      <w:sz w:val="24"/>
      <w:szCs w:val="24"/>
      <w:lang w:eastAsia="ru-RU"/>
    </w:rPr>
  </w:style>
  <w:style w:type="character" w:styleId="a5">
    <w:name w:val="footnote reference"/>
    <w:aliases w:val="Footnote Reference Number,Footnote Reference_LVL6,Footnote Reference_LVL61,Footnote Reference_LVL62,Footnote Reference_LVL63,Footnote Reference_LVL64,fr,PIC Footnote Reference,Текст сноски Знак2 Знак Знак,Текст сноски Знак Знак Знак1 Знак Зн"/>
    <w:uiPriority w:val="99"/>
    <w:rsid w:val="00D24DCE"/>
    <w:rPr>
      <w:vertAlign w:val="superscript"/>
    </w:rPr>
  </w:style>
  <w:style w:type="paragraph" w:styleId="a6">
    <w:name w:val="footnote text"/>
    <w:aliases w:val="Текст сноски-FN,single space,footnote text"/>
    <w:basedOn w:val="a"/>
    <w:link w:val="a7"/>
    <w:uiPriority w:val="99"/>
    <w:rsid w:val="00D24DCE"/>
    <w:pPr>
      <w:spacing w:after="0" w:line="240" w:lineRule="auto"/>
      <w:jc w:val="both"/>
    </w:pPr>
    <w:rPr>
      <w:rFonts w:ascii="Calibri" w:eastAsia="Calibri" w:hAnsi="Calibri" w:cs="Times New Roman"/>
      <w:sz w:val="20"/>
      <w:szCs w:val="20"/>
    </w:rPr>
  </w:style>
  <w:style w:type="character" w:customStyle="1" w:styleId="a7">
    <w:name w:val="Текст сноски Знак"/>
    <w:aliases w:val="Текст сноски-FN Знак,single space Знак,footnote text Знак"/>
    <w:basedOn w:val="a0"/>
    <w:link w:val="a6"/>
    <w:uiPriority w:val="99"/>
    <w:rsid w:val="00D24DCE"/>
    <w:rPr>
      <w:rFonts w:ascii="Calibri" w:eastAsia="Calibri" w:hAnsi="Calibri" w:cs="Times New Roman"/>
      <w:sz w:val="20"/>
      <w:szCs w:val="20"/>
    </w:rPr>
  </w:style>
  <w:style w:type="paragraph" w:styleId="a8">
    <w:name w:val="List Paragraph"/>
    <w:aliases w:val="SLIKE,List Paragraph1,маркированный,lp1,Preambuła,без абзаца,List Paragraph,ПАРАГРАФ,References,Абзац списка7,Абзац списка71,Абзац списка8,Абзац с отступом,List Paragraph (numbered (a)),WB Para,List Square,Абзац,Стандартный,Heading1"/>
    <w:basedOn w:val="a"/>
    <w:link w:val="a9"/>
    <w:uiPriority w:val="34"/>
    <w:qFormat/>
    <w:rsid w:val="00597CB0"/>
    <w:pPr>
      <w:spacing w:after="0" w:line="240" w:lineRule="auto"/>
      <w:ind w:left="720"/>
      <w:contextualSpacing/>
      <w:jc w:val="both"/>
    </w:pPr>
    <w:rPr>
      <w:rFonts w:ascii="Calibri" w:eastAsia="Calibri" w:hAnsi="Calibri" w:cs="Times New Roman"/>
    </w:rPr>
  </w:style>
  <w:style w:type="character" w:styleId="aa">
    <w:name w:val="Hyperlink"/>
    <w:uiPriority w:val="99"/>
    <w:unhideWhenUsed/>
    <w:rsid w:val="00A97BAA"/>
    <w:rPr>
      <w:color w:val="0000FF"/>
      <w:u w:val="single"/>
    </w:rPr>
  </w:style>
  <w:style w:type="paragraph" w:styleId="ab">
    <w:name w:val="Balloon Text"/>
    <w:basedOn w:val="a"/>
    <w:link w:val="ac"/>
    <w:uiPriority w:val="99"/>
    <w:semiHidden/>
    <w:unhideWhenUsed/>
    <w:rsid w:val="006613EA"/>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6613EA"/>
    <w:rPr>
      <w:rFonts w:ascii="Tahoma" w:eastAsia="Calibri" w:hAnsi="Tahoma" w:cs="Tahoma"/>
      <w:sz w:val="16"/>
      <w:szCs w:val="16"/>
    </w:rPr>
  </w:style>
  <w:style w:type="character" w:customStyle="1" w:styleId="a9">
    <w:name w:val="Абзац списка Знак"/>
    <w:aliases w:val="SLIKE Знак,List Paragraph1 Знак,маркированный Знак,lp1 Знак,Preambuła Знак,без абзаца Знак,List Paragraph Знак,ПАРАГРАФ Знак,References Знак,Абзац списка7 Знак,Абзац списка71 Знак,Абзац списка8 Знак,Абзац с отступом Знак,WB Para Знак"/>
    <w:basedOn w:val="a0"/>
    <w:link w:val="a8"/>
    <w:uiPriority w:val="34"/>
    <w:locked/>
    <w:rsid w:val="00614FF0"/>
    <w:rPr>
      <w:rFonts w:ascii="Calibri" w:eastAsia="Calibri" w:hAnsi="Calibri" w:cs="Times New Roman"/>
    </w:rPr>
  </w:style>
  <w:style w:type="paragraph" w:customStyle="1" w:styleId="ConsPlusNormal">
    <w:name w:val="ConsPlusNormal"/>
    <w:qFormat/>
    <w:rsid w:val="006E7E69"/>
    <w:pPr>
      <w:widowControl w:val="0"/>
      <w:autoSpaceDE w:val="0"/>
      <w:autoSpaceDN w:val="0"/>
      <w:spacing w:after="0" w:line="240" w:lineRule="auto"/>
    </w:pPr>
    <w:rPr>
      <w:rFonts w:ascii="Calibri" w:eastAsia="Times New Roman" w:hAnsi="Calibri" w:cs="Calibri"/>
      <w:szCs w:val="20"/>
      <w:lang w:eastAsia="ru-RU"/>
    </w:rPr>
  </w:style>
  <w:style w:type="character" w:styleId="ad">
    <w:name w:val="annotation reference"/>
    <w:basedOn w:val="a0"/>
    <w:uiPriority w:val="99"/>
    <w:semiHidden/>
    <w:unhideWhenUsed/>
    <w:rsid w:val="00C37050"/>
    <w:rPr>
      <w:sz w:val="16"/>
      <w:szCs w:val="16"/>
    </w:rPr>
  </w:style>
  <w:style w:type="paragraph" w:styleId="ae">
    <w:name w:val="annotation text"/>
    <w:basedOn w:val="a"/>
    <w:link w:val="af"/>
    <w:uiPriority w:val="99"/>
    <w:semiHidden/>
    <w:unhideWhenUsed/>
    <w:rsid w:val="00C37050"/>
    <w:pPr>
      <w:spacing w:line="240" w:lineRule="auto"/>
    </w:pPr>
    <w:rPr>
      <w:sz w:val="20"/>
      <w:szCs w:val="20"/>
    </w:rPr>
  </w:style>
  <w:style w:type="character" w:customStyle="1" w:styleId="af">
    <w:name w:val="Текст примечания Знак"/>
    <w:basedOn w:val="a0"/>
    <w:link w:val="ae"/>
    <w:uiPriority w:val="99"/>
    <w:semiHidden/>
    <w:rsid w:val="00C37050"/>
    <w:rPr>
      <w:sz w:val="20"/>
      <w:szCs w:val="20"/>
    </w:rPr>
  </w:style>
  <w:style w:type="paragraph" w:styleId="af0">
    <w:name w:val="annotation subject"/>
    <w:basedOn w:val="ae"/>
    <w:next w:val="ae"/>
    <w:link w:val="af1"/>
    <w:uiPriority w:val="99"/>
    <w:semiHidden/>
    <w:unhideWhenUsed/>
    <w:rsid w:val="00C37050"/>
    <w:rPr>
      <w:b/>
      <w:bCs/>
    </w:rPr>
  </w:style>
  <w:style w:type="character" w:customStyle="1" w:styleId="af1">
    <w:name w:val="Тема примечания Знак"/>
    <w:basedOn w:val="af"/>
    <w:link w:val="af0"/>
    <w:uiPriority w:val="99"/>
    <w:semiHidden/>
    <w:rsid w:val="00C37050"/>
    <w:rPr>
      <w:b/>
      <w:bCs/>
      <w:sz w:val="20"/>
      <w:szCs w:val="20"/>
    </w:rPr>
  </w:style>
  <w:style w:type="paragraph" w:styleId="af2">
    <w:name w:val="header"/>
    <w:basedOn w:val="a"/>
    <w:link w:val="af3"/>
    <w:uiPriority w:val="99"/>
    <w:unhideWhenUsed/>
    <w:rsid w:val="00724B0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24B07"/>
  </w:style>
  <w:style w:type="paragraph" w:styleId="af4">
    <w:name w:val="footer"/>
    <w:basedOn w:val="a"/>
    <w:link w:val="af5"/>
    <w:uiPriority w:val="99"/>
    <w:unhideWhenUsed/>
    <w:rsid w:val="00724B0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24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9232">
      <w:bodyDiv w:val="1"/>
      <w:marLeft w:val="0"/>
      <w:marRight w:val="0"/>
      <w:marTop w:val="0"/>
      <w:marBottom w:val="0"/>
      <w:divBdr>
        <w:top w:val="none" w:sz="0" w:space="0" w:color="auto"/>
        <w:left w:val="none" w:sz="0" w:space="0" w:color="auto"/>
        <w:bottom w:val="none" w:sz="0" w:space="0" w:color="auto"/>
        <w:right w:val="none" w:sz="0" w:space="0" w:color="auto"/>
      </w:divBdr>
    </w:div>
    <w:div w:id="715159819">
      <w:bodyDiv w:val="1"/>
      <w:marLeft w:val="0"/>
      <w:marRight w:val="0"/>
      <w:marTop w:val="0"/>
      <w:marBottom w:val="0"/>
      <w:divBdr>
        <w:top w:val="none" w:sz="0" w:space="0" w:color="auto"/>
        <w:left w:val="none" w:sz="0" w:space="0" w:color="auto"/>
        <w:bottom w:val="none" w:sz="0" w:space="0" w:color="auto"/>
        <w:right w:val="none" w:sz="0" w:space="0" w:color="auto"/>
      </w:divBdr>
    </w:div>
    <w:div w:id="1182356614">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me/finpra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0B993-7CC4-4233-A02E-B69315E4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9169</Words>
  <Characters>52268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Малика Муратова</dc:creator>
  <cp:lastModifiedBy>Малика Муратова</cp:lastModifiedBy>
  <cp:revision>5</cp:revision>
  <cp:lastPrinted>2021-02-15T07:22:00Z</cp:lastPrinted>
  <dcterms:created xsi:type="dcterms:W3CDTF">2021-02-15T07:23:00Z</dcterms:created>
  <dcterms:modified xsi:type="dcterms:W3CDTF">2021-02-18T13:22:00Z</dcterms:modified>
</cp:coreProperties>
</file>