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Default="00D820EF" w:rsidP="00D820EF">
      <w:pPr>
        <w:pStyle w:val="1"/>
        <w:ind w:left="5103"/>
        <w:jc w:val="right"/>
        <w:rPr>
          <w:rFonts w:ascii="Times New Roman" w:hAnsi="Times New Roman"/>
          <w:lang w:val="kk-KZ"/>
        </w:rPr>
      </w:pPr>
    </w:p>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2</w:t>
      </w:r>
    </w:p>
    <w:p w:rsidR="00D820EF" w:rsidRPr="008609C3" w:rsidRDefault="00D820EF" w:rsidP="00D820E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D820EF" w:rsidRPr="008609C3" w:rsidRDefault="00D820EF" w:rsidP="00D820EF">
      <w:pPr>
        <w:pStyle w:val="a6"/>
        <w:jc w:val="right"/>
        <w:rPr>
          <w:rFonts w:ascii="Times New Roman" w:hAnsi="Times New Roman" w:cs="Times New Roman"/>
          <w:sz w:val="24"/>
          <w:szCs w:val="24"/>
          <w:lang w:val="kk-KZ"/>
        </w:rPr>
      </w:pP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634603" w:rsidRDefault="00B942BD" w:rsidP="00B942BD">
      <w:pPr>
        <w:pStyle w:val="3"/>
        <w:jc w:val="center"/>
        <w:rPr>
          <w:rFonts w:ascii="Times New Roman" w:hAnsi="Times New Roman"/>
          <w:sz w:val="20"/>
          <w:szCs w:val="20"/>
          <w:lang w:val="kk-KZ"/>
        </w:rPr>
      </w:pPr>
      <w:r w:rsidRPr="000E2D59">
        <w:rPr>
          <w:rFonts w:ascii="Times New Roman" w:hAnsi="Times New Roman"/>
          <w:sz w:val="20"/>
          <w:szCs w:val="20"/>
          <w:lang w:val="kk-KZ"/>
        </w:rPr>
        <w:t xml:space="preserve">                                                                                                                </w:t>
      </w:r>
      <w:r>
        <w:rPr>
          <w:rFonts w:ascii="Times New Roman" w:hAnsi="Times New Roman"/>
          <w:sz w:val="20"/>
          <w:szCs w:val="20"/>
          <w:lang w:val="kk-KZ"/>
        </w:rPr>
        <w:t xml:space="preserve">                         </w:t>
      </w: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B942BD" w:rsidRDefault="00B942BD" w:rsidP="00B942BD">
      <w:pPr>
        <w:pStyle w:val="2"/>
        <w:jc w:val="right"/>
        <w:rPr>
          <w:rFonts w:ascii="Times New Roman" w:hAnsi="Times New Roman"/>
          <w:sz w:val="24"/>
          <w:szCs w:val="24"/>
          <w:lang w:val="kk-KZ"/>
        </w:rPr>
      </w:pPr>
    </w:p>
    <w:p w:rsidR="00B942BD" w:rsidRDefault="00B942BD" w:rsidP="00B942BD">
      <w:pPr>
        <w:pStyle w:val="2"/>
        <w:jc w:val="right"/>
        <w:rPr>
          <w:rFonts w:ascii="Times New Roman" w:hAnsi="Times New Roman"/>
          <w:lang w:val="kk-KZ"/>
        </w:rPr>
      </w:pPr>
      <w:r>
        <w:rPr>
          <w:rFonts w:ascii="Times New Roman" w:hAnsi="Times New Roman"/>
          <w:sz w:val="24"/>
          <w:szCs w:val="24"/>
          <w:lang w:val="kk-KZ"/>
        </w:rPr>
        <w:t>место печати</w:t>
      </w:r>
    </w:p>
    <w:p w:rsidR="00B942BD" w:rsidRDefault="00B942BD" w:rsidP="00B942BD">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310414"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w:t>
      </w:r>
      <w:r w:rsidR="00865719">
        <w:rPr>
          <w:rFonts w:ascii="Times New Roman" w:hAnsi="Times New Roman"/>
          <w:b/>
          <w:sz w:val="28"/>
          <w:szCs w:val="28"/>
          <w:u w:val="single"/>
          <w:lang w:val="kk-KZ"/>
        </w:rPr>
        <w:t>6</w:t>
      </w:r>
      <w:r w:rsidR="00D820EF" w:rsidRPr="00686A46">
        <w:rPr>
          <w:rFonts w:ascii="Times New Roman" w:hAnsi="Times New Roman"/>
          <w:b/>
          <w:sz w:val="28"/>
          <w:szCs w:val="28"/>
          <w:u w:val="single"/>
          <w:lang w:val="kk-KZ"/>
        </w:rPr>
        <w:t xml:space="preserve">,  </w:t>
      </w:r>
      <w:r w:rsidR="00D820EF">
        <w:rPr>
          <w:rFonts w:ascii="Times New Roman" w:hAnsi="Times New Roman"/>
          <w:b/>
          <w:sz w:val="28"/>
          <w:szCs w:val="28"/>
          <w:u w:val="single"/>
          <w:lang w:val="kk-KZ"/>
        </w:rPr>
        <w:t xml:space="preserve">Аппарат акима </w:t>
      </w:r>
      <w:r w:rsidR="00865719">
        <w:rPr>
          <w:rFonts w:ascii="Times New Roman" w:hAnsi="Times New Roman"/>
          <w:b/>
          <w:sz w:val="28"/>
          <w:szCs w:val="28"/>
          <w:u w:val="single"/>
          <w:lang w:val="kk-KZ"/>
        </w:rPr>
        <w:t>Умтыл</w:t>
      </w:r>
      <w:r>
        <w:rPr>
          <w:rFonts w:ascii="Times New Roman" w:hAnsi="Times New Roman"/>
          <w:b/>
          <w:sz w:val="28"/>
          <w:szCs w:val="28"/>
          <w:u w:val="single"/>
          <w:lang w:val="kk-KZ"/>
        </w:rPr>
        <w:t>ского</w:t>
      </w:r>
      <w:r w:rsidR="00D820EF">
        <w:rPr>
          <w:rFonts w:ascii="Times New Roman" w:hAnsi="Times New Roman"/>
          <w:b/>
          <w:sz w:val="28"/>
          <w:szCs w:val="28"/>
          <w:u w:val="single"/>
          <w:lang w:val="kk-KZ"/>
        </w:rPr>
        <w:t xml:space="preserve">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w:t>
      </w:r>
      <w:r w:rsidR="00C45888">
        <w:rPr>
          <w:b/>
          <w:sz w:val="28"/>
          <w:szCs w:val="28"/>
        </w:rPr>
        <w:t>0</w:t>
      </w:r>
      <w:r w:rsidRPr="00335543">
        <w:rPr>
          <w:b/>
          <w:sz w:val="28"/>
          <w:szCs w:val="28"/>
          <w:lang w:val="kk-KZ"/>
        </w:rPr>
        <w:t>-202</w:t>
      </w:r>
      <w:r w:rsidR="00C45888">
        <w:rPr>
          <w:b/>
          <w:sz w:val="28"/>
          <w:szCs w:val="28"/>
          <w:lang w:val="kk-KZ"/>
        </w:rPr>
        <w:t>2</w:t>
      </w:r>
      <w:r w:rsidRPr="00335543">
        <w:rPr>
          <w:b/>
          <w:sz w:val="28"/>
          <w:szCs w:val="28"/>
          <w:lang w:val="kk-KZ"/>
        </w:rPr>
        <w:t xml:space="preserve"> годы</w:t>
      </w: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865719" w:rsidRDefault="00865719" w:rsidP="00865719">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679EE">
        <w:rPr>
          <w:u w:val="single"/>
          <w:lang w:val="kk-KZ"/>
        </w:rPr>
        <w:t>Кулунчаков Ришат Сергеевич</w:t>
      </w:r>
      <w:r>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«О бюдж</w:t>
      </w:r>
      <w:r w:rsidR="00310414">
        <w:rPr>
          <w:rFonts w:ascii="Times New Roman" w:hAnsi="Times New Roman"/>
          <w:sz w:val="24"/>
          <w:szCs w:val="24"/>
          <w:u w:val="single"/>
          <w:lang w:val="kk-KZ"/>
        </w:rPr>
        <w:t xml:space="preserve">ете аппарата акима </w:t>
      </w:r>
      <w:r w:rsidR="00865719">
        <w:rPr>
          <w:rFonts w:ascii="Times New Roman" w:hAnsi="Times New Roman"/>
          <w:sz w:val="24"/>
          <w:szCs w:val="24"/>
          <w:u w:val="single"/>
          <w:lang w:val="kk-KZ"/>
        </w:rPr>
        <w:t>Умтыл</w:t>
      </w:r>
      <w:r w:rsidR="00310414">
        <w:rPr>
          <w:rFonts w:ascii="Times New Roman" w:hAnsi="Times New Roman"/>
          <w:sz w:val="24"/>
          <w:szCs w:val="24"/>
          <w:u w:val="single"/>
          <w:lang w:val="kk-KZ"/>
        </w:rPr>
        <w:t>ского</w:t>
      </w:r>
      <w:r w:rsidR="006146F3">
        <w:rPr>
          <w:rFonts w:ascii="Times New Roman" w:hAnsi="Times New Roman"/>
          <w:sz w:val="24"/>
          <w:szCs w:val="24"/>
          <w:u w:val="single"/>
          <w:lang w:val="kk-KZ"/>
        </w:rPr>
        <w:t xml:space="preserve"> сельского округа Карасайского района на 202</w:t>
      </w:r>
      <w:r w:rsidR="00C45888">
        <w:rPr>
          <w:rFonts w:ascii="Times New Roman" w:hAnsi="Times New Roman"/>
          <w:sz w:val="24"/>
          <w:szCs w:val="24"/>
          <w:u w:val="single"/>
          <w:lang w:val="kk-KZ"/>
        </w:rPr>
        <w:t>0</w:t>
      </w:r>
      <w:r w:rsidR="006146F3">
        <w:rPr>
          <w:rFonts w:ascii="Times New Roman" w:hAnsi="Times New Roman"/>
          <w:sz w:val="24"/>
          <w:szCs w:val="24"/>
          <w:u w:val="single"/>
          <w:lang w:val="kk-KZ"/>
        </w:rPr>
        <w:t>-202</w:t>
      </w:r>
      <w:r w:rsidR="00C45888">
        <w:rPr>
          <w:rFonts w:ascii="Times New Roman" w:hAnsi="Times New Roman"/>
          <w:sz w:val="24"/>
          <w:szCs w:val="24"/>
          <w:u w:val="single"/>
          <w:lang w:val="kk-KZ"/>
        </w:rPr>
        <w:t>2</w:t>
      </w:r>
      <w:r w:rsidR="006146F3">
        <w:rPr>
          <w:rFonts w:ascii="Times New Roman" w:hAnsi="Times New Roman"/>
          <w:sz w:val="24"/>
          <w:szCs w:val="24"/>
          <w:u w:val="single"/>
          <w:lang w:val="kk-KZ"/>
        </w:rPr>
        <w:t xml:space="preserve">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3B637F" w:rsidRPr="00852F5E" w:rsidRDefault="003B637F" w:rsidP="00D820EF">
      <w:pPr>
        <w:spacing w:after="0" w:line="240" w:lineRule="auto"/>
        <w:jc w:val="both"/>
        <w:rPr>
          <w:rFonts w:ascii="Times New Roman" w:hAnsi="Times New Roman" w:cs="Times New Roman"/>
          <w:b/>
          <w:color w:val="000000"/>
          <w:sz w:val="24"/>
          <w:szCs w:val="24"/>
        </w:rPr>
      </w:pPr>
    </w:p>
    <w:tbl>
      <w:tblPr>
        <w:tblStyle w:val="a5"/>
        <w:tblW w:w="0" w:type="auto"/>
        <w:jc w:val="center"/>
        <w:tblLayout w:type="fixed"/>
        <w:tblLook w:val="04A0"/>
      </w:tblPr>
      <w:tblGrid>
        <w:gridCol w:w="2425"/>
        <w:gridCol w:w="108"/>
        <w:gridCol w:w="1292"/>
        <w:gridCol w:w="1245"/>
        <w:gridCol w:w="16"/>
        <w:gridCol w:w="1259"/>
        <w:gridCol w:w="23"/>
        <w:gridCol w:w="1054"/>
        <w:gridCol w:w="139"/>
        <w:gridCol w:w="921"/>
        <w:gridCol w:w="156"/>
        <w:gridCol w:w="933"/>
      </w:tblGrid>
      <w:tr w:rsidR="00D820EF" w:rsidTr="007B16C4">
        <w:trPr>
          <w:jc w:val="center"/>
        </w:trPr>
        <w:tc>
          <w:tcPr>
            <w:tcW w:w="2533" w:type="dxa"/>
            <w:gridSpan w:val="2"/>
            <w:vMerge w:val="restart"/>
            <w:vAlign w:val="center"/>
          </w:tcPr>
          <w:p w:rsidR="00D820EF" w:rsidRPr="000329C6" w:rsidRDefault="00D820EF" w:rsidP="00A3554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gridSpan w:val="2"/>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gridSpan w:val="2"/>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5"/>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7B16C4">
        <w:trPr>
          <w:jc w:val="center"/>
        </w:trPr>
        <w:tc>
          <w:tcPr>
            <w:tcW w:w="2533" w:type="dxa"/>
            <w:gridSpan w:val="2"/>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gridSpan w:val="2"/>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942BD" w:rsidTr="007B16C4">
        <w:trPr>
          <w:jc w:val="center"/>
        </w:trPr>
        <w:tc>
          <w:tcPr>
            <w:tcW w:w="2533" w:type="dxa"/>
            <w:gridSpan w:val="2"/>
          </w:tcPr>
          <w:p w:rsidR="00B942BD" w:rsidRPr="00760820" w:rsidRDefault="00B942BD" w:rsidP="00634603">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B942BD" w:rsidRPr="00485D0D" w:rsidRDefault="00B942BD"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B942BD" w:rsidRPr="00EC38DC" w:rsidRDefault="00B942BD"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gridSpan w:val="2"/>
            <w:vAlign w:val="center"/>
          </w:tcPr>
          <w:p w:rsidR="00B942BD" w:rsidRPr="00EC38DC" w:rsidRDefault="00C45888" w:rsidP="003A4FD7">
            <w:pPr>
              <w:jc w:val="center"/>
              <w:rPr>
                <w:rFonts w:ascii="Times New Roman" w:hAnsi="Times New Roman"/>
                <w:sz w:val="24"/>
                <w:szCs w:val="24"/>
                <w:lang w:val="kk-KZ"/>
              </w:rPr>
            </w:pPr>
            <w:r>
              <w:rPr>
                <w:rFonts w:ascii="Times New Roman" w:hAnsi="Times New Roman"/>
                <w:sz w:val="24"/>
                <w:szCs w:val="24"/>
                <w:lang w:val="kk-KZ"/>
              </w:rPr>
              <w:t>4970</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C45888" w:rsidP="003A4FD7">
            <w:pPr>
              <w:jc w:val="center"/>
              <w:rPr>
                <w:rFonts w:ascii="Times New Roman" w:hAnsi="Times New Roman"/>
                <w:sz w:val="24"/>
                <w:szCs w:val="24"/>
                <w:lang w:val="kk-KZ"/>
              </w:rPr>
            </w:pPr>
            <w:r>
              <w:rPr>
                <w:rFonts w:ascii="Times New Roman" w:hAnsi="Times New Roman"/>
                <w:sz w:val="24"/>
                <w:szCs w:val="24"/>
                <w:lang w:val="kk-KZ"/>
              </w:rPr>
              <w:t>5800</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C45888" w:rsidP="003A4FD7">
            <w:pPr>
              <w:jc w:val="center"/>
              <w:rPr>
                <w:rFonts w:ascii="Times New Roman" w:hAnsi="Times New Roman"/>
                <w:sz w:val="24"/>
                <w:szCs w:val="24"/>
                <w:lang w:val="kk-KZ"/>
              </w:rPr>
            </w:pPr>
            <w:r>
              <w:rPr>
                <w:rFonts w:ascii="Times New Roman" w:hAnsi="Times New Roman"/>
                <w:sz w:val="24"/>
                <w:szCs w:val="24"/>
                <w:lang w:val="kk-KZ"/>
              </w:rPr>
              <w:t>6032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C45888" w:rsidP="003A4FD7">
            <w:pPr>
              <w:jc w:val="center"/>
              <w:rPr>
                <w:rFonts w:ascii="Times New Roman" w:hAnsi="Times New Roman"/>
                <w:sz w:val="24"/>
                <w:szCs w:val="24"/>
                <w:lang w:val="kk-KZ"/>
              </w:rPr>
            </w:pPr>
            <w:r>
              <w:rPr>
                <w:rFonts w:ascii="Times New Roman" w:hAnsi="Times New Roman"/>
                <w:sz w:val="24"/>
                <w:szCs w:val="24"/>
                <w:lang w:val="kk-KZ"/>
              </w:rPr>
              <w:t>6273</w:t>
            </w:r>
          </w:p>
        </w:tc>
      </w:tr>
      <w:tr w:rsidR="00C45888" w:rsidTr="007B16C4">
        <w:trPr>
          <w:jc w:val="center"/>
        </w:trPr>
        <w:tc>
          <w:tcPr>
            <w:tcW w:w="2533" w:type="dxa"/>
            <w:gridSpan w:val="2"/>
          </w:tcPr>
          <w:p w:rsidR="00C45888" w:rsidRPr="0085304B" w:rsidRDefault="00C45888"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C45888" w:rsidRPr="0061465E" w:rsidRDefault="00C45888"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C45888" w:rsidRPr="00EC38DC" w:rsidRDefault="00C45888"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gridSpan w:val="2"/>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4970</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5800</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6032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6273</w:t>
            </w:r>
          </w:p>
        </w:tc>
      </w:tr>
      <w:tr w:rsidR="007B16C4" w:rsidTr="007B16C4">
        <w:trPr>
          <w:jc w:val="center"/>
        </w:trPr>
        <w:tc>
          <w:tcPr>
            <w:tcW w:w="2425" w:type="dxa"/>
            <w:vMerge w:val="restart"/>
            <w:vAlign w:val="center"/>
          </w:tcPr>
          <w:p w:rsidR="007B16C4" w:rsidRPr="000329C6" w:rsidRDefault="007B16C4" w:rsidP="008C60F8">
            <w:pPr>
              <w:pStyle w:val="a3"/>
              <w:jc w:val="center"/>
              <w:rPr>
                <w:lang w:val="kk-KZ"/>
              </w:rPr>
            </w:pPr>
            <w:r>
              <w:rPr>
                <w:lang w:val="kk-KZ"/>
              </w:rPr>
              <w:t>Показатели прямого результата</w:t>
            </w:r>
          </w:p>
        </w:tc>
        <w:tc>
          <w:tcPr>
            <w:tcW w:w="1400" w:type="dxa"/>
            <w:gridSpan w:val="2"/>
            <w:vMerge w:val="restart"/>
            <w:vAlign w:val="center"/>
          </w:tcPr>
          <w:p w:rsidR="007B16C4" w:rsidRPr="000329C6" w:rsidRDefault="007B16C4" w:rsidP="008C60F8">
            <w:pPr>
              <w:pStyle w:val="a3"/>
              <w:jc w:val="center"/>
              <w:rPr>
                <w:lang w:val="kk-KZ"/>
              </w:rPr>
            </w:pPr>
            <w:r w:rsidRPr="000329C6">
              <w:t>Единица измерения</w:t>
            </w:r>
          </w:p>
        </w:tc>
        <w:tc>
          <w:tcPr>
            <w:tcW w:w="1245" w:type="dxa"/>
            <w:vAlign w:val="center"/>
          </w:tcPr>
          <w:p w:rsidR="007B16C4" w:rsidRPr="000329C6" w:rsidRDefault="007B16C4" w:rsidP="008C60F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gridSpan w:val="2"/>
            <w:vAlign w:val="center"/>
          </w:tcPr>
          <w:p w:rsidR="007B16C4" w:rsidRPr="000329C6" w:rsidRDefault="007B16C4" w:rsidP="008C60F8">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26" w:type="dxa"/>
            <w:gridSpan w:val="6"/>
            <w:vAlign w:val="center"/>
          </w:tcPr>
          <w:p w:rsidR="007B16C4" w:rsidRPr="001B7783"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16C4" w:rsidTr="007B16C4">
        <w:trPr>
          <w:jc w:val="center"/>
        </w:trPr>
        <w:tc>
          <w:tcPr>
            <w:tcW w:w="2425" w:type="dxa"/>
            <w:vMerge/>
            <w:vAlign w:val="center"/>
          </w:tcPr>
          <w:p w:rsidR="007B16C4" w:rsidRPr="001B7783" w:rsidRDefault="007B16C4" w:rsidP="008C60F8">
            <w:pPr>
              <w:jc w:val="center"/>
              <w:rPr>
                <w:rFonts w:ascii="Times New Roman" w:hAnsi="Times New Roman" w:cs="Times New Roman"/>
                <w:sz w:val="24"/>
                <w:szCs w:val="24"/>
                <w:lang w:val="kk-KZ"/>
              </w:rPr>
            </w:pPr>
          </w:p>
        </w:tc>
        <w:tc>
          <w:tcPr>
            <w:tcW w:w="1400" w:type="dxa"/>
            <w:gridSpan w:val="2"/>
            <w:vMerge/>
            <w:vAlign w:val="center"/>
          </w:tcPr>
          <w:p w:rsidR="007B16C4" w:rsidRPr="001B7783" w:rsidRDefault="007B16C4" w:rsidP="008C60F8">
            <w:pPr>
              <w:jc w:val="center"/>
              <w:rPr>
                <w:rFonts w:ascii="Times New Roman" w:hAnsi="Times New Roman" w:cs="Times New Roman"/>
                <w:sz w:val="24"/>
                <w:szCs w:val="24"/>
                <w:lang w:val="kk-KZ"/>
              </w:rPr>
            </w:pPr>
          </w:p>
        </w:tc>
        <w:tc>
          <w:tcPr>
            <w:tcW w:w="1245" w:type="dxa"/>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077"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9"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65719" w:rsidTr="008765CA">
        <w:trPr>
          <w:jc w:val="center"/>
        </w:trPr>
        <w:tc>
          <w:tcPr>
            <w:tcW w:w="2425" w:type="dxa"/>
          </w:tcPr>
          <w:p w:rsidR="00865719" w:rsidRPr="007D61E8" w:rsidRDefault="00865719" w:rsidP="008C60F8">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400" w:type="dxa"/>
            <w:gridSpan w:val="2"/>
            <w:vAlign w:val="center"/>
          </w:tcPr>
          <w:p w:rsidR="00865719" w:rsidRPr="00485D0D" w:rsidRDefault="00865719"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tcPr>
          <w:p w:rsidR="00865719" w:rsidRDefault="00865719">
            <w:r w:rsidRPr="0000110B">
              <w:rPr>
                <w:rFonts w:ascii="Times New Roman" w:hAnsi="Times New Roman" w:cs="Times New Roman"/>
                <w:sz w:val="24"/>
                <w:szCs w:val="24"/>
                <w:lang w:val="kk-KZ"/>
              </w:rPr>
              <w:t>245</w:t>
            </w:r>
          </w:p>
        </w:tc>
        <w:tc>
          <w:tcPr>
            <w:tcW w:w="1275" w:type="dxa"/>
            <w:gridSpan w:val="2"/>
          </w:tcPr>
          <w:p w:rsidR="00865719" w:rsidRDefault="00865719">
            <w:r w:rsidRPr="0000110B">
              <w:rPr>
                <w:rFonts w:ascii="Times New Roman" w:hAnsi="Times New Roman" w:cs="Times New Roman"/>
                <w:sz w:val="24"/>
                <w:szCs w:val="24"/>
                <w:lang w:val="kk-KZ"/>
              </w:rPr>
              <w:t>245</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r>
      <w:tr w:rsidR="00865719" w:rsidTr="007B16C4">
        <w:trPr>
          <w:jc w:val="center"/>
        </w:trPr>
        <w:tc>
          <w:tcPr>
            <w:tcW w:w="2425" w:type="dxa"/>
          </w:tcPr>
          <w:p w:rsidR="00865719" w:rsidRPr="0085304B" w:rsidRDefault="00865719" w:rsidP="008C60F8">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400" w:type="dxa"/>
            <w:gridSpan w:val="2"/>
            <w:vAlign w:val="center"/>
          </w:tcPr>
          <w:p w:rsidR="00865719" w:rsidRPr="0061465E" w:rsidRDefault="00865719"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tcPr>
          <w:p w:rsidR="00865719" w:rsidRDefault="00865719">
            <w:r w:rsidRPr="0000110B">
              <w:rPr>
                <w:rFonts w:ascii="Times New Roman" w:hAnsi="Times New Roman" w:cs="Times New Roman"/>
                <w:sz w:val="24"/>
                <w:szCs w:val="24"/>
                <w:lang w:val="kk-KZ"/>
              </w:rPr>
              <w:t>245</w:t>
            </w:r>
          </w:p>
        </w:tc>
        <w:tc>
          <w:tcPr>
            <w:tcW w:w="1275" w:type="dxa"/>
            <w:gridSpan w:val="2"/>
          </w:tcPr>
          <w:p w:rsidR="00865719" w:rsidRDefault="00865719">
            <w:r w:rsidRPr="0000110B">
              <w:rPr>
                <w:rFonts w:ascii="Times New Roman" w:hAnsi="Times New Roman" w:cs="Times New Roman"/>
                <w:sz w:val="24"/>
                <w:szCs w:val="24"/>
                <w:lang w:val="kk-KZ"/>
              </w:rPr>
              <w:t>245</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r>
    </w:tbl>
    <w:p w:rsidR="007B16C4" w:rsidRDefault="005A3214" w:rsidP="007B16C4">
      <w:pPr>
        <w:pStyle w:val="a3"/>
        <w:jc w:val="both"/>
        <w:rPr>
          <w:b/>
          <w:u w:val="single"/>
          <w:lang w:val="kk-KZ"/>
        </w:rPr>
      </w:pPr>
      <w:r w:rsidRPr="000A686A">
        <w:rPr>
          <w:b/>
          <w:lang w:val="kk-KZ"/>
        </w:rPr>
        <w:t xml:space="preserve">Код и наименование  бюджетной подпрограммы: </w:t>
      </w:r>
      <w:r>
        <w:rPr>
          <w:u w:val="single"/>
          <w:lang w:val="kk-KZ"/>
        </w:rPr>
        <w:t>029</w:t>
      </w:r>
      <w:r w:rsidRPr="000A686A">
        <w:rPr>
          <w:u w:val="single"/>
          <w:lang w:val="kk-KZ"/>
        </w:rPr>
        <w:t xml:space="preserve"> </w:t>
      </w:r>
      <w:r w:rsidRPr="00A83FCC">
        <w:rPr>
          <w:color w:val="000000"/>
        </w:rPr>
        <w:t xml:space="preserve">За счет трансфертов из районного </w:t>
      </w:r>
      <w:r w:rsidR="00EC38DC" w:rsidRPr="00A83FCC">
        <w:rPr>
          <w:color w:val="000000"/>
        </w:rPr>
        <w:t>бюджета (города областного значения)</w:t>
      </w:r>
      <w:r w:rsidR="00EC38DC" w:rsidRPr="00A83FCC">
        <w:rPr>
          <w:u w:val="single"/>
          <w:lang w:val="kk-KZ"/>
        </w:rPr>
        <w:t>.</w:t>
      </w:r>
      <w:r w:rsidR="00EC38DC">
        <w:rPr>
          <w:u w:val="single"/>
          <w:lang w:val="kk-KZ"/>
        </w:rPr>
        <w:t xml:space="preserve">   </w:t>
      </w:r>
      <w:r w:rsidR="00852F5E" w:rsidRPr="000A686A">
        <w:rPr>
          <w:b/>
          <w:u w:val="single"/>
          <w:lang w:val="kk-KZ"/>
        </w:rPr>
        <w:t>Вид бюджетной подпрограммы:</w:t>
      </w:r>
    </w:p>
    <w:p w:rsidR="00852F5E" w:rsidRPr="000A686A" w:rsidRDefault="00852F5E" w:rsidP="007B16C4">
      <w:pPr>
        <w:pStyle w:val="a3"/>
        <w:jc w:val="both"/>
        <w:rPr>
          <w:u w:val="single"/>
          <w:lang w:val="kk-KZ"/>
        </w:rPr>
      </w:pPr>
      <w:r w:rsidRPr="000A686A">
        <w:rPr>
          <w:b/>
          <w:lang w:val="kk-KZ"/>
        </w:rPr>
        <w:t>в зависимости от содержания</w:t>
      </w:r>
      <w:r w:rsidRPr="000A686A">
        <w:rPr>
          <w:lang w:val="kk-KZ"/>
        </w:rPr>
        <w:t xml:space="preserve">: </w:t>
      </w:r>
      <w:r w:rsidRPr="000A686A">
        <w:rPr>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tbl>
      <w:tblPr>
        <w:tblStyle w:val="a5"/>
        <w:tblW w:w="0" w:type="auto"/>
        <w:jc w:val="center"/>
        <w:tblLook w:val="04A0"/>
      </w:tblPr>
      <w:tblGrid>
        <w:gridCol w:w="2425"/>
        <w:gridCol w:w="1373"/>
        <w:gridCol w:w="1261"/>
        <w:gridCol w:w="1275"/>
        <w:gridCol w:w="1169"/>
        <w:gridCol w:w="1060"/>
        <w:gridCol w:w="926"/>
      </w:tblGrid>
      <w:tr w:rsidR="00D820EF" w:rsidTr="0086297E">
        <w:trPr>
          <w:jc w:val="center"/>
        </w:trPr>
        <w:tc>
          <w:tcPr>
            <w:tcW w:w="2425" w:type="dxa"/>
            <w:vMerge w:val="restart"/>
            <w:vAlign w:val="center"/>
          </w:tcPr>
          <w:p w:rsidR="00D820EF" w:rsidRPr="000329C6" w:rsidRDefault="00D820EF" w:rsidP="00A3554C">
            <w:pPr>
              <w:pStyle w:val="a3"/>
              <w:jc w:val="center"/>
              <w:rPr>
                <w:lang w:val="kk-KZ"/>
              </w:rPr>
            </w:pPr>
            <w:r>
              <w:rPr>
                <w:lang w:val="kk-KZ"/>
              </w:rPr>
              <w:t>Показатели прямого результата</w:t>
            </w:r>
          </w:p>
        </w:tc>
        <w:tc>
          <w:tcPr>
            <w:tcW w:w="1373"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55"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86297E">
        <w:trPr>
          <w:jc w:val="center"/>
        </w:trPr>
        <w:tc>
          <w:tcPr>
            <w:tcW w:w="2425"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373"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261"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9"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26"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65719" w:rsidTr="0086297E">
        <w:trPr>
          <w:jc w:val="center"/>
        </w:trPr>
        <w:tc>
          <w:tcPr>
            <w:tcW w:w="2425" w:type="dxa"/>
          </w:tcPr>
          <w:p w:rsidR="00865719" w:rsidRPr="007D61E8" w:rsidRDefault="00865719" w:rsidP="00634603">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373" w:type="dxa"/>
            <w:vAlign w:val="center"/>
          </w:tcPr>
          <w:p w:rsidR="00865719" w:rsidRPr="00485D0D" w:rsidRDefault="0086297E" w:rsidP="00634603">
            <w:pPr>
              <w:jc w:val="center"/>
              <w:rPr>
                <w:rFonts w:ascii="Times New Roman" w:hAnsi="Times New Roman" w:cs="Times New Roman"/>
                <w:sz w:val="24"/>
                <w:szCs w:val="24"/>
                <w:lang w:val="kk-KZ"/>
              </w:rPr>
            </w:pPr>
            <w:r>
              <w:rPr>
                <w:rFonts w:ascii="Times New Roman" w:hAnsi="Times New Roman" w:cs="Times New Roman"/>
                <w:sz w:val="24"/>
                <w:szCs w:val="24"/>
                <w:lang w:val="kk-KZ"/>
              </w:rPr>
              <w:t>количество</w:t>
            </w:r>
          </w:p>
        </w:tc>
        <w:tc>
          <w:tcPr>
            <w:tcW w:w="1261" w:type="dxa"/>
            <w:vAlign w:val="center"/>
          </w:tcPr>
          <w:p w:rsidR="00865719" w:rsidRPr="005A3214" w:rsidRDefault="00865719" w:rsidP="00613CFD">
            <w:pPr>
              <w:jc w:val="center"/>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245</w:t>
            </w:r>
          </w:p>
        </w:tc>
        <w:tc>
          <w:tcPr>
            <w:tcW w:w="1275" w:type="dxa"/>
          </w:tcPr>
          <w:p w:rsidR="00865719" w:rsidRDefault="00865719">
            <w:r w:rsidRPr="00F30B66">
              <w:rPr>
                <w:rFonts w:ascii="Times New Roman" w:hAnsi="Times New Roman" w:cs="Times New Roman"/>
                <w:sz w:val="24"/>
                <w:szCs w:val="24"/>
                <w:lang w:val="kk-KZ"/>
              </w:rPr>
              <w:t>245</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F30B66">
              <w:rPr>
                <w:rFonts w:ascii="Times New Roman" w:hAnsi="Times New Roman" w:cs="Times New Roman"/>
                <w:sz w:val="24"/>
                <w:szCs w:val="24"/>
                <w:lang w:val="kk-KZ"/>
              </w:rPr>
              <w:t>245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F30B66">
              <w:rPr>
                <w:rFonts w:ascii="Times New Roman" w:hAnsi="Times New Roman" w:cs="Times New Roman"/>
                <w:sz w:val="24"/>
                <w:szCs w:val="24"/>
                <w:lang w:val="kk-KZ"/>
              </w:rPr>
              <w:t>245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F30B66">
              <w:rPr>
                <w:rFonts w:ascii="Times New Roman" w:hAnsi="Times New Roman" w:cs="Times New Roman"/>
                <w:sz w:val="24"/>
                <w:szCs w:val="24"/>
                <w:lang w:val="kk-KZ"/>
              </w:rPr>
              <w:t>245</w:t>
            </w:r>
          </w:p>
        </w:tc>
      </w:tr>
      <w:tr w:rsidR="0086297E" w:rsidTr="0086297E">
        <w:trPr>
          <w:jc w:val="center"/>
        </w:trPr>
        <w:tc>
          <w:tcPr>
            <w:tcW w:w="2425" w:type="dxa"/>
          </w:tcPr>
          <w:p w:rsidR="0086297E" w:rsidRPr="0085304B" w:rsidRDefault="0086297E"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373" w:type="dxa"/>
            <w:vAlign w:val="center"/>
          </w:tcPr>
          <w:p w:rsidR="0086297E" w:rsidRPr="00485D0D" w:rsidRDefault="0086297E" w:rsidP="00211FA5">
            <w:pPr>
              <w:jc w:val="center"/>
              <w:rPr>
                <w:rFonts w:ascii="Times New Roman" w:hAnsi="Times New Roman" w:cs="Times New Roman"/>
                <w:sz w:val="24"/>
                <w:szCs w:val="24"/>
                <w:lang w:val="kk-KZ"/>
              </w:rPr>
            </w:pPr>
            <w:r>
              <w:rPr>
                <w:rFonts w:ascii="Times New Roman" w:hAnsi="Times New Roman" w:cs="Times New Roman"/>
                <w:sz w:val="24"/>
                <w:szCs w:val="24"/>
                <w:lang w:val="kk-KZ"/>
              </w:rPr>
              <w:t>количество</w:t>
            </w:r>
          </w:p>
        </w:tc>
        <w:tc>
          <w:tcPr>
            <w:tcW w:w="1261" w:type="dxa"/>
          </w:tcPr>
          <w:p w:rsidR="0086297E" w:rsidRDefault="0086297E">
            <w:r>
              <w:rPr>
                <w:rFonts w:ascii="Times New Roman" w:hAnsi="Times New Roman" w:cs="Times New Roman"/>
                <w:sz w:val="24"/>
                <w:szCs w:val="24"/>
                <w:lang w:val="kk-KZ"/>
              </w:rPr>
              <w:t>245</w:t>
            </w:r>
          </w:p>
        </w:tc>
        <w:tc>
          <w:tcPr>
            <w:tcW w:w="1275" w:type="dxa"/>
          </w:tcPr>
          <w:p w:rsidR="0086297E" w:rsidRDefault="0086297E">
            <w:r w:rsidRPr="00F30B66">
              <w:rPr>
                <w:rFonts w:ascii="Times New Roman" w:hAnsi="Times New Roman" w:cs="Times New Roman"/>
                <w:sz w:val="24"/>
                <w:szCs w:val="24"/>
                <w:lang w:val="kk-KZ"/>
              </w:rPr>
              <w:t>245</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7E" w:rsidRDefault="0086297E">
            <w:r w:rsidRPr="00F30B66">
              <w:rPr>
                <w:rFonts w:ascii="Times New Roman" w:hAnsi="Times New Roman" w:cs="Times New Roman"/>
                <w:sz w:val="24"/>
                <w:szCs w:val="24"/>
                <w:lang w:val="kk-KZ"/>
              </w:rPr>
              <w:t>245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7E" w:rsidRDefault="0086297E">
            <w:r w:rsidRPr="00F30B66">
              <w:rPr>
                <w:rFonts w:ascii="Times New Roman" w:hAnsi="Times New Roman" w:cs="Times New Roman"/>
                <w:sz w:val="24"/>
                <w:szCs w:val="24"/>
                <w:lang w:val="kk-KZ"/>
              </w:rPr>
              <w:t>245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7E" w:rsidRDefault="0086297E">
            <w:r w:rsidRPr="00F30B66">
              <w:rPr>
                <w:rFonts w:ascii="Times New Roman" w:hAnsi="Times New Roman" w:cs="Times New Roman"/>
                <w:sz w:val="24"/>
                <w:szCs w:val="24"/>
                <w:lang w:val="kk-KZ"/>
              </w:rPr>
              <w:t>245</w:t>
            </w:r>
          </w:p>
        </w:tc>
      </w:tr>
    </w:tbl>
    <w:p w:rsidR="00D820EF" w:rsidRDefault="00D820EF" w:rsidP="00D820EF">
      <w:pPr>
        <w:pStyle w:val="3"/>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8439D6" w:rsidTr="00F86802">
        <w:trPr>
          <w:jc w:val="center"/>
        </w:trPr>
        <w:tc>
          <w:tcPr>
            <w:tcW w:w="2533" w:type="dxa"/>
            <w:vMerge w:val="restart"/>
            <w:vAlign w:val="center"/>
          </w:tcPr>
          <w:p w:rsidR="008439D6" w:rsidRPr="000329C6" w:rsidRDefault="008439D6" w:rsidP="00F86802">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439D6" w:rsidRPr="000329C6" w:rsidRDefault="008439D6" w:rsidP="00F86802">
            <w:pPr>
              <w:pStyle w:val="a3"/>
              <w:jc w:val="center"/>
              <w:rPr>
                <w:lang w:val="kk-KZ"/>
              </w:rPr>
            </w:pPr>
            <w:r w:rsidRPr="000329C6">
              <w:t>Единица измерения</w:t>
            </w:r>
          </w:p>
        </w:tc>
        <w:tc>
          <w:tcPr>
            <w:tcW w:w="1261" w:type="dxa"/>
            <w:vAlign w:val="center"/>
          </w:tcPr>
          <w:p w:rsidR="008439D6" w:rsidRPr="000329C6" w:rsidRDefault="008439D6" w:rsidP="00F8680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439D6" w:rsidRPr="000329C6" w:rsidRDefault="008439D6" w:rsidP="00F8680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439D6" w:rsidRPr="001B7783"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439D6" w:rsidTr="00F86802">
        <w:trPr>
          <w:jc w:val="center"/>
        </w:trPr>
        <w:tc>
          <w:tcPr>
            <w:tcW w:w="2533"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92"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61"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45888" w:rsidTr="00F86802">
        <w:trPr>
          <w:jc w:val="center"/>
        </w:trPr>
        <w:tc>
          <w:tcPr>
            <w:tcW w:w="2533" w:type="dxa"/>
          </w:tcPr>
          <w:p w:rsidR="00C45888" w:rsidRPr="00760820" w:rsidRDefault="00C45888" w:rsidP="00F8680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C45888" w:rsidRPr="00485D0D" w:rsidRDefault="00C45888"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C45888" w:rsidRPr="00EC38DC" w:rsidRDefault="00C45888"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4970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5800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6032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6273</w:t>
            </w:r>
          </w:p>
        </w:tc>
      </w:tr>
      <w:tr w:rsidR="00C45888" w:rsidTr="00F86802">
        <w:trPr>
          <w:jc w:val="center"/>
        </w:trPr>
        <w:tc>
          <w:tcPr>
            <w:tcW w:w="2533" w:type="dxa"/>
          </w:tcPr>
          <w:p w:rsidR="00C45888" w:rsidRPr="0085304B" w:rsidRDefault="00C45888" w:rsidP="00F8680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C45888" w:rsidRPr="0061465E" w:rsidRDefault="00C45888"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C45888" w:rsidRPr="00EC38DC" w:rsidRDefault="00C45888"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4970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5800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6032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888" w:rsidRPr="00EC38DC" w:rsidRDefault="00C45888" w:rsidP="004201B6">
            <w:pPr>
              <w:jc w:val="center"/>
              <w:rPr>
                <w:rFonts w:ascii="Times New Roman" w:hAnsi="Times New Roman"/>
                <w:sz w:val="24"/>
                <w:szCs w:val="24"/>
                <w:lang w:val="kk-KZ"/>
              </w:rPr>
            </w:pPr>
            <w:r>
              <w:rPr>
                <w:rFonts w:ascii="Times New Roman" w:hAnsi="Times New Roman"/>
                <w:sz w:val="24"/>
                <w:szCs w:val="24"/>
                <w:lang w:val="kk-KZ"/>
              </w:rPr>
              <w:t>6273</w:t>
            </w:r>
          </w:p>
        </w:tc>
      </w:tr>
    </w:tbl>
    <w:p w:rsidR="00D820EF" w:rsidRDefault="00D820EF" w:rsidP="00D820EF">
      <w:pPr>
        <w:pStyle w:val="3"/>
        <w:jc w:val="center"/>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D820EF"/>
    <w:rsid w:val="00156A88"/>
    <w:rsid w:val="00293445"/>
    <w:rsid w:val="00310414"/>
    <w:rsid w:val="003B637F"/>
    <w:rsid w:val="00400CD5"/>
    <w:rsid w:val="00420852"/>
    <w:rsid w:val="005A3214"/>
    <w:rsid w:val="006146F3"/>
    <w:rsid w:val="00634603"/>
    <w:rsid w:val="006E7E02"/>
    <w:rsid w:val="007A0D84"/>
    <w:rsid w:val="007B16C4"/>
    <w:rsid w:val="008439D6"/>
    <w:rsid w:val="00852F5E"/>
    <w:rsid w:val="0086297E"/>
    <w:rsid w:val="00865719"/>
    <w:rsid w:val="00B53036"/>
    <w:rsid w:val="00B87208"/>
    <w:rsid w:val="00B942BD"/>
    <w:rsid w:val="00C21F81"/>
    <w:rsid w:val="00C45888"/>
    <w:rsid w:val="00D3790F"/>
    <w:rsid w:val="00D820EF"/>
    <w:rsid w:val="00E050BC"/>
    <w:rsid w:val="00E15766"/>
    <w:rsid w:val="00E21D6C"/>
    <w:rsid w:val="00E61965"/>
    <w:rsid w:val="00EC38DC"/>
    <w:rsid w:val="00FB140B"/>
    <w:rsid w:val="00FB153C"/>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C8D5-6171-43ED-BFB8-850F145D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21</cp:revision>
  <cp:lastPrinted>2020-01-31T03:08:00Z</cp:lastPrinted>
  <dcterms:created xsi:type="dcterms:W3CDTF">2020-01-19T05:11:00Z</dcterms:created>
  <dcterms:modified xsi:type="dcterms:W3CDTF">2021-01-28T03:56:00Z</dcterms:modified>
</cp:coreProperties>
</file>